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汉中市“十五五”水安全保障规划</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（征求意见稿）</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编制单位：汉中市水利局</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二〇二六年八月</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黑体" w:cs="Times New Roman"/>
          <w:sz w:val="32"/>
          <w:szCs w:val="32"/>
        </w:rPr>
        <w:sectPr>
          <w:pgSz w:w="11906" w:h="16838"/>
          <w:pgMar w:top="2098" w:right="1474" w:bottom="1701" w:left="1474"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一、总体要求</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（一）指导思想。</w:t>
      </w:r>
      <w:r>
        <w:rPr>
          <w:rFonts w:hint="default" w:ascii="Times New Roman" w:hAnsi="Times New Roman" w:eastAsia="仿宋_GB2312" w:cs="Times New Roman"/>
          <w:sz w:val="32"/>
          <w:szCs w:val="32"/>
        </w:rPr>
        <w:t>坚持以习近平新时代中国特色社会主义思想为指导，深入贯彻党的二十大和二十届历次全会精神，贯通落实习近平总书记历次来陕考察重要讲话重要指示、习近平总书记来汉中考察重要指示精神，完整准确全面贯彻新发展理念，统筹高质量发展和高水平安全。坚定不移践行“节水优先、空间均衡、系统治理、两手发力”治水思路和“四水四定”原则，立足建设生态城市定位，筑牢秦巴生态安全屏障，守护南水北调中线、引汉济渭核心水源地，确保“一泓清水永续北上”。以构建安全韧性现代“汉中水网”为总抓手，加快建设“一心两域、三横五纵、三枢多点”水网格局，全面提升水资源节约集约利用和优化配置、水旱灾害防御、城乡供水保障、河湖生态保护治理能力，为汉中高质量发展提供坚实水安全保障。</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（二）发展目标。</w:t>
      </w:r>
      <w:r>
        <w:rPr>
          <w:rFonts w:hint="default" w:ascii="Times New Roman" w:hAnsi="Times New Roman" w:eastAsia="仿宋_GB2312" w:cs="Times New Roman"/>
          <w:sz w:val="32"/>
          <w:szCs w:val="32"/>
        </w:rPr>
        <w:t>到2030年，水安全保障体系与全市经济社会高质量发展和生态文明建设要求基本适应，水利基础设施空间布局更加合理，重大水利工程建管机制基本完善；水资源配置格局基本形成，水旱灾害防御能力显著提高；城乡供水一体化、农村供水标准化建设和管护模式实现全覆盖，粮食安全需水全面保障；全域幸福河湖建设取得明显成效，水生态系统健康稳定；涉水事务监管精准高效，水文化持续繁荣发展，水利重点领域改革实现突破，安全韧性现代“汉中水网”体系初步建成。</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（三）总体布局。</w:t>
      </w:r>
      <w:r>
        <w:rPr>
          <w:rFonts w:hint="default" w:ascii="Times New Roman" w:hAnsi="Times New Roman" w:eastAsia="仿宋_GB2312" w:cs="Times New Roman"/>
          <w:sz w:val="32"/>
          <w:szCs w:val="32"/>
        </w:rPr>
        <w:t>立足汉中“两江两山”自然本底，以“一心两域、三横五纵、三枢多点”为空间骨架，统筹水灾害、水资源、水生态、水环境、水文化系统治理，确立“十五五”水安全保障“155”总体布局。</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一个目标</w:t>
      </w:r>
      <w:r>
        <w:rPr>
          <w:rFonts w:hint="default" w:ascii="Times New Roman" w:hAnsi="Times New Roman" w:eastAsia="仿宋_GB2312" w:cs="Times New Roman"/>
          <w:sz w:val="32"/>
          <w:szCs w:val="32"/>
        </w:rPr>
        <w:t>。建设“秦巴片区区域水网建设示范区”。</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五大体系</w:t>
      </w:r>
      <w:r>
        <w:rPr>
          <w:rFonts w:hint="default" w:ascii="Times New Roman" w:hAnsi="Times New Roman" w:eastAsia="仿宋_GB2312" w:cs="Times New Roman"/>
          <w:sz w:val="32"/>
          <w:szCs w:val="32"/>
        </w:rPr>
        <w:t>。构建循环畅通水资源配置体系、风险可控水旱灾害防御体系、安全可靠城乡供水保障体系、河湖复苏水生态保护治理体系、智慧赋能水利数智化体系。</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五项监管</w:t>
      </w:r>
      <w:r>
        <w:rPr>
          <w:rFonts w:hint="default" w:ascii="Times New Roman" w:hAnsi="Times New Roman" w:eastAsia="仿宋_GB2312" w:cs="Times New Roman"/>
          <w:sz w:val="32"/>
          <w:szCs w:val="32"/>
        </w:rPr>
        <w:t>。强化水资源刚性约束、河湖长制、水土保持、质量安全、法治改革监管。</w:t>
      </w:r>
    </w:p>
    <w:p>
      <w:pPr>
        <w:keepNext w:val="0"/>
        <w:keepLines w:val="0"/>
        <w:pageBreakBefore w:val="0"/>
        <w:widowControl w:val="0"/>
        <w:kinsoku/>
        <w:wordWrap/>
        <w:overflowPunct/>
        <w:topLinePunct w:val="0"/>
        <w:autoSpaceDE/>
        <w:autoSpaceDN/>
        <w:bidi w:val="0"/>
        <w:adjustRightInd/>
        <w:snapToGrid/>
        <w:spacing w:before="200" w:after="200" w:line="560" w:lineRule="exact"/>
        <w:ind w:left="0" w:leftChars="0" w:firstLine="0" w:firstLineChars="0"/>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汉中市“十五五”水利发展规划主要指标</w:t>
      </w:r>
    </w:p>
    <w:tbl>
      <w:tblPr>
        <w:tblStyle w:val="10"/>
        <w:tblW w:w="50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7"/>
        <w:gridCol w:w="3074"/>
        <w:gridCol w:w="1327"/>
        <w:gridCol w:w="1213"/>
        <w:gridCol w:w="121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tblHeader/>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b/>
                <w:bCs/>
                <w:spacing w:val="-10"/>
                <w:sz w:val="28"/>
                <w:szCs w:val="28"/>
              </w:rPr>
            </w:pPr>
            <w:r>
              <w:rPr>
                <w:rFonts w:hint="default" w:ascii="Times New Roman" w:hAnsi="Times New Roman" w:eastAsia="仿宋_GB2312" w:cs="Times New Roman"/>
                <w:b/>
                <w:bCs/>
                <w:spacing w:val="-10"/>
                <w:sz w:val="28"/>
                <w:szCs w:val="28"/>
              </w:rPr>
              <w:t>序号</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b/>
                <w:bCs/>
                <w:spacing w:val="-10"/>
                <w:sz w:val="28"/>
                <w:szCs w:val="28"/>
              </w:rPr>
            </w:pPr>
            <w:r>
              <w:rPr>
                <w:rFonts w:hint="default" w:ascii="Times New Roman" w:hAnsi="Times New Roman" w:eastAsia="仿宋_GB2312" w:cs="Times New Roman"/>
                <w:b/>
                <w:bCs/>
                <w:spacing w:val="-10"/>
                <w:sz w:val="28"/>
                <w:szCs w:val="28"/>
              </w:rPr>
              <w:t>主要指标</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b/>
                <w:bCs/>
                <w:spacing w:val="-10"/>
                <w:sz w:val="28"/>
                <w:szCs w:val="28"/>
              </w:rPr>
            </w:pPr>
            <w:r>
              <w:rPr>
                <w:rFonts w:hint="default" w:ascii="Times New Roman" w:hAnsi="Times New Roman" w:eastAsia="仿宋_GB2312" w:cs="Times New Roman"/>
                <w:b/>
                <w:bCs/>
                <w:spacing w:val="-10"/>
                <w:sz w:val="28"/>
                <w:szCs w:val="28"/>
              </w:rPr>
              <w:t>单位</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b/>
                <w:bCs/>
                <w:spacing w:val="-10"/>
                <w:sz w:val="28"/>
                <w:szCs w:val="28"/>
                <w:lang w:val="en"/>
              </w:rPr>
            </w:pPr>
            <w:r>
              <w:rPr>
                <w:rFonts w:hint="default" w:ascii="Times New Roman" w:hAnsi="Times New Roman" w:eastAsia="仿宋_GB2312" w:cs="Times New Roman"/>
                <w:b/>
                <w:bCs/>
                <w:spacing w:val="-10"/>
                <w:sz w:val="28"/>
                <w:szCs w:val="28"/>
                <w:lang w:val="en"/>
              </w:rPr>
              <w:t>现状年</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b/>
                <w:bCs/>
                <w:spacing w:val="-10"/>
                <w:sz w:val="28"/>
                <w:szCs w:val="28"/>
              </w:rPr>
            </w:pPr>
            <w:r>
              <w:rPr>
                <w:rFonts w:hint="default" w:ascii="Times New Roman" w:hAnsi="Times New Roman" w:eastAsia="仿宋_GB2312" w:cs="Times New Roman"/>
                <w:b/>
                <w:bCs/>
                <w:spacing w:val="-10"/>
                <w:sz w:val="28"/>
                <w:szCs w:val="28"/>
              </w:rPr>
              <w:t>2030年</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b/>
                <w:bCs/>
                <w:spacing w:val="-10"/>
                <w:sz w:val="28"/>
                <w:szCs w:val="28"/>
              </w:rPr>
            </w:pPr>
            <w:r>
              <w:rPr>
                <w:rFonts w:hint="default" w:ascii="Times New Roman" w:hAnsi="Times New Roman" w:eastAsia="仿宋_GB2312" w:cs="Times New Roman"/>
                <w:b/>
                <w:bCs/>
                <w:spacing w:val="-1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1</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8"/>
                <w:rFonts w:hint="default" w:ascii="Times New Roman" w:hAnsi="Times New Roman" w:eastAsia="仿宋_GB2312" w:cs="Times New Roman"/>
                <w:spacing w:val="-10"/>
                <w:sz w:val="28"/>
                <w:szCs w:val="28"/>
                <w:lang w:bidi="ar"/>
              </w:rPr>
              <w:t>全市用水总量控制指标</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z w:val="28"/>
                <w:szCs w:val="28"/>
                <w:lang w:bidi="ar"/>
              </w:rPr>
            </w:pPr>
            <w:r>
              <w:rPr>
                <w:rStyle w:val="18"/>
                <w:rFonts w:hint="default" w:ascii="Times New Roman" w:hAnsi="Times New Roman" w:eastAsia="仿宋_GB2312" w:cs="Times New Roman"/>
                <w:spacing w:val="-10"/>
                <w:sz w:val="28"/>
                <w:szCs w:val="28"/>
                <w:lang w:bidi="ar"/>
              </w:rPr>
              <w:t>亿</w:t>
            </w:r>
            <w:r>
              <w:rPr>
                <w:rStyle w:val="19"/>
                <w:rFonts w:hint="default" w:ascii="Times New Roman" w:hAnsi="Times New Roman" w:eastAsia="仿宋_GB2312" w:cs="Times New Roman"/>
                <w:spacing w:val="-10"/>
                <w:sz w:val="28"/>
                <w:szCs w:val="28"/>
                <w:lang w:bidi="ar"/>
              </w:rPr>
              <w:t>立方米</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pacing w:val="-10"/>
                <w:sz w:val="28"/>
                <w:szCs w:val="28"/>
                <w:lang w:bidi="ar"/>
              </w:rPr>
              <w:t>15.72</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color w:val="auto"/>
                <w:spacing w:val="-10"/>
                <w:sz w:val="28"/>
                <w:szCs w:val="28"/>
                <w:highlight w:val="none"/>
                <w:lang w:bidi="ar"/>
              </w:rPr>
              <w:t>17.5</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8"/>
                <w:rFonts w:hint="default" w:ascii="Times New Roman" w:hAnsi="Times New Roman" w:eastAsia="仿宋_GB2312" w:cs="Times New Roman"/>
                <w:spacing w:val="-10"/>
                <w:sz w:val="28"/>
                <w:szCs w:val="28"/>
                <w:lang w:bidi="ar"/>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val="en-US" w:eastAsia="zh-CN"/>
              </w:rPr>
            </w:pPr>
            <w:r>
              <w:rPr>
                <w:rFonts w:hint="default" w:ascii="Times New Roman" w:hAnsi="Times New Roman" w:eastAsia="仿宋_GB2312" w:cs="Times New Roman"/>
                <w:spacing w:val="-10"/>
                <w:sz w:val="28"/>
                <w:szCs w:val="28"/>
                <w:lang w:val="en-US" w:eastAsia="zh-CN"/>
              </w:rPr>
              <w:t>2</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pacing w:val="-10"/>
                <w:sz w:val="28"/>
                <w:szCs w:val="28"/>
                <w:lang w:eastAsia="zh-CN" w:bidi="ar"/>
              </w:rPr>
            </w:pPr>
            <w:r>
              <w:rPr>
                <w:rStyle w:val="18"/>
                <w:rFonts w:hint="default" w:ascii="Times New Roman" w:hAnsi="Times New Roman" w:eastAsia="仿宋_GB2312" w:cs="Times New Roman"/>
                <w:spacing w:val="-10"/>
                <w:sz w:val="28"/>
                <w:szCs w:val="28"/>
                <w:lang w:bidi="ar"/>
              </w:rPr>
              <w:t>全市</w:t>
            </w:r>
            <w:r>
              <w:rPr>
                <w:rStyle w:val="18"/>
                <w:rFonts w:hint="default" w:ascii="Times New Roman" w:hAnsi="Times New Roman" w:eastAsia="仿宋_GB2312" w:cs="Times New Roman"/>
                <w:spacing w:val="-10"/>
                <w:sz w:val="28"/>
                <w:szCs w:val="28"/>
                <w:lang w:eastAsia="zh-CN" w:bidi="ar"/>
              </w:rPr>
              <w:t>水网覆盖率</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pacing w:val="-10"/>
                <w:sz w:val="28"/>
                <w:szCs w:val="28"/>
                <w:lang w:val="en-US" w:eastAsia="zh-CN" w:bidi="ar"/>
              </w:rPr>
            </w:pPr>
            <w:r>
              <w:rPr>
                <w:rStyle w:val="18"/>
                <w:rFonts w:hint="default" w:ascii="Times New Roman" w:hAnsi="Times New Roman" w:eastAsia="仿宋_GB2312" w:cs="Times New Roman"/>
                <w:spacing w:val="-10"/>
                <w:sz w:val="28"/>
                <w:szCs w:val="28"/>
                <w:lang w:val="en-US" w:eastAsia="zh-CN" w:bidi="ar"/>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val="en-US" w:eastAsia="zh-CN" w:bidi="ar"/>
              </w:rPr>
            </w:pPr>
            <w:r>
              <w:rPr>
                <w:rFonts w:hint="default" w:ascii="Times New Roman" w:hAnsi="Times New Roman" w:eastAsia="仿宋_GB2312" w:cs="Times New Roman"/>
                <w:spacing w:val="-10"/>
                <w:sz w:val="28"/>
                <w:szCs w:val="28"/>
                <w:lang w:val="en-US" w:eastAsia="zh-CN" w:bidi="ar"/>
              </w:rPr>
              <w:t>60</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val="en-US" w:eastAsia="zh-CN" w:bidi="ar"/>
              </w:rPr>
            </w:pPr>
            <w:r>
              <w:rPr>
                <w:rFonts w:hint="default" w:ascii="Times New Roman" w:hAnsi="Times New Roman" w:eastAsia="仿宋_GB2312" w:cs="Times New Roman"/>
                <w:spacing w:val="-10"/>
                <w:sz w:val="28"/>
                <w:szCs w:val="28"/>
                <w:lang w:val="en-US" w:eastAsia="zh-CN" w:bidi="ar"/>
              </w:rPr>
              <w:t>70</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pacing w:val="-10"/>
                <w:sz w:val="28"/>
                <w:szCs w:val="28"/>
                <w:lang w:bidi="ar"/>
              </w:rPr>
            </w:pPr>
            <w:r>
              <w:rPr>
                <w:rFonts w:hint="default" w:ascii="Times New Roman" w:hAnsi="Times New Roman" w:eastAsia="仿宋_GB2312" w:cs="Times New Roman"/>
                <w:spacing w:val="-10"/>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eastAsia="zh-CN"/>
              </w:rPr>
            </w:pPr>
            <w:r>
              <w:rPr>
                <w:rFonts w:hint="default" w:ascii="Times New Roman" w:hAnsi="Times New Roman" w:eastAsia="仿宋_GB2312" w:cs="Times New Roman"/>
                <w:spacing w:val="-10"/>
                <w:sz w:val="28"/>
                <w:szCs w:val="28"/>
                <w:lang w:val="en-US" w:eastAsia="zh-CN"/>
              </w:rPr>
              <w:t>3</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z w:val="28"/>
                <w:szCs w:val="28"/>
                <w:lang w:bidi="ar"/>
              </w:rPr>
            </w:pPr>
            <w:r>
              <w:rPr>
                <w:rStyle w:val="18"/>
                <w:rFonts w:hint="default" w:ascii="Times New Roman" w:hAnsi="Times New Roman" w:eastAsia="仿宋_GB2312" w:cs="Times New Roman"/>
                <w:spacing w:val="-10"/>
                <w:sz w:val="28"/>
                <w:szCs w:val="28"/>
                <w:lang w:val="en-US" w:eastAsia="zh-CN" w:bidi="ar"/>
              </w:rPr>
              <w:t>1-5级</w:t>
            </w:r>
            <w:r>
              <w:rPr>
                <w:rStyle w:val="18"/>
                <w:rFonts w:hint="default" w:ascii="Times New Roman" w:hAnsi="Times New Roman" w:eastAsia="仿宋_GB2312" w:cs="Times New Roman"/>
                <w:spacing w:val="-10"/>
                <w:sz w:val="28"/>
                <w:szCs w:val="28"/>
                <w:lang w:bidi="ar"/>
              </w:rPr>
              <w:t>堤防达标率</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pacing w:val="-10"/>
                <w:sz w:val="28"/>
                <w:szCs w:val="28"/>
                <w:lang w:bidi="ar"/>
              </w:rPr>
            </w:pPr>
            <w:r>
              <w:rPr>
                <w:rStyle w:val="18"/>
                <w:rFonts w:hint="default" w:ascii="Times New Roman" w:hAnsi="Times New Roman" w:eastAsia="仿宋_GB2312" w:cs="Times New Roman"/>
                <w:spacing w:val="-10"/>
                <w:sz w:val="28"/>
                <w:szCs w:val="28"/>
                <w:lang w:bidi="ar"/>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pacing w:val="-10"/>
                <w:sz w:val="28"/>
                <w:szCs w:val="28"/>
              </w:rPr>
              <w:t>75</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Fonts w:hint="default" w:ascii="Times New Roman" w:hAnsi="Times New Roman" w:eastAsia="仿宋_GB2312" w:cs="Times New Roman"/>
                <w:spacing w:val="-10"/>
                <w:sz w:val="28"/>
                <w:szCs w:val="28"/>
              </w:rPr>
              <w:t>80</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z w:val="28"/>
                <w:szCs w:val="28"/>
              </w:rPr>
            </w:pPr>
            <w:r>
              <w:rPr>
                <w:rFonts w:hint="default" w:ascii="Times New Roman" w:hAnsi="Times New Roman" w:eastAsia="仿宋_GB2312" w:cs="Times New Roman"/>
                <w:spacing w:val="-10"/>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466"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eastAsia="zh-CN"/>
              </w:rPr>
            </w:pPr>
            <w:r>
              <w:rPr>
                <w:rFonts w:hint="default" w:ascii="Times New Roman" w:hAnsi="Times New Roman" w:eastAsia="仿宋_GB2312" w:cs="Times New Roman"/>
                <w:spacing w:val="-10"/>
                <w:sz w:val="28"/>
                <w:szCs w:val="28"/>
                <w:lang w:val="en-US" w:eastAsia="zh-CN"/>
              </w:rPr>
              <w:t>4</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8"/>
                <w:rFonts w:hint="default" w:ascii="Times New Roman" w:hAnsi="Times New Roman" w:eastAsia="仿宋_GB2312" w:cs="Times New Roman"/>
                <w:spacing w:val="-10"/>
                <w:sz w:val="28"/>
                <w:szCs w:val="28"/>
                <w:lang w:bidi="ar"/>
              </w:rPr>
              <w:t>万元</w:t>
            </w:r>
            <w:r>
              <w:rPr>
                <w:rStyle w:val="19"/>
                <w:rFonts w:hint="default" w:ascii="Times New Roman" w:hAnsi="Times New Roman" w:eastAsia="仿宋_GB2312" w:cs="Times New Roman"/>
                <w:spacing w:val="-10"/>
                <w:sz w:val="28"/>
                <w:szCs w:val="28"/>
                <w:lang w:bidi="ar"/>
              </w:rPr>
              <w:t>生产总值</w:t>
            </w:r>
            <w:r>
              <w:rPr>
                <w:rStyle w:val="18"/>
                <w:rFonts w:hint="default" w:ascii="Times New Roman" w:hAnsi="Times New Roman" w:eastAsia="仿宋_GB2312" w:cs="Times New Roman"/>
                <w:spacing w:val="-10"/>
                <w:sz w:val="28"/>
                <w:szCs w:val="28"/>
                <w:lang w:bidi="ar"/>
              </w:rPr>
              <w:t>用水量下降</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z w:val="28"/>
                <w:szCs w:val="28"/>
                <w:lang w:bidi="ar"/>
              </w:rPr>
            </w:pPr>
            <w:r>
              <w:rPr>
                <w:rStyle w:val="19"/>
                <w:rFonts w:hint="default" w:ascii="Times New Roman" w:hAnsi="Times New Roman" w:eastAsia="仿宋_GB2312" w:cs="Times New Roman"/>
                <w:spacing w:val="-10"/>
                <w:sz w:val="28"/>
                <w:szCs w:val="28"/>
                <w:lang w:bidi="ar"/>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z w:val="28"/>
                <w:szCs w:val="28"/>
                <w:highlight w:val="none"/>
              </w:rPr>
            </w:pPr>
            <w:r>
              <w:rPr>
                <w:rStyle w:val="20"/>
                <w:rFonts w:hint="default" w:ascii="Times New Roman" w:hAnsi="Times New Roman" w:eastAsia="仿宋_GB2312" w:cs="Times New Roman"/>
                <w:spacing w:val="-10"/>
                <w:sz w:val="28"/>
                <w:szCs w:val="28"/>
                <w:highlight w:val="none"/>
                <w:lang w:bidi="ar"/>
              </w:rPr>
              <w:t>16.74</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highlight w:val="none"/>
              </w:rPr>
            </w:pPr>
            <w:r>
              <w:rPr>
                <w:rFonts w:hint="default" w:ascii="Times New Roman" w:hAnsi="Times New Roman" w:eastAsia="仿宋_GB2312" w:cs="Times New Roman"/>
                <w:color w:val="auto"/>
                <w:spacing w:val="-10"/>
                <w:sz w:val="28"/>
                <w:szCs w:val="28"/>
                <w:highlight w:val="none"/>
                <w:lang w:val="en-US" w:eastAsia="zh-CN" w:bidi="ar"/>
              </w:rPr>
              <w:t>10</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8"/>
                <w:rFonts w:hint="default" w:ascii="Times New Roman" w:hAnsi="Times New Roman" w:eastAsia="仿宋_GB2312" w:cs="Times New Roman"/>
                <w:spacing w:val="-10"/>
                <w:sz w:val="28"/>
                <w:szCs w:val="28"/>
                <w:lang w:bidi="ar"/>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466"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val="en"/>
              </w:rPr>
            </w:pP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8"/>
                <w:rFonts w:hint="default" w:ascii="Times New Roman" w:hAnsi="Times New Roman" w:eastAsia="仿宋_GB2312" w:cs="Times New Roman"/>
                <w:spacing w:val="-10"/>
                <w:sz w:val="28"/>
                <w:szCs w:val="28"/>
                <w:lang w:bidi="ar"/>
              </w:rPr>
              <w:t>其中：万元工业增加值用水量下降</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z w:val="28"/>
                <w:szCs w:val="28"/>
                <w:lang w:bidi="ar"/>
              </w:rPr>
            </w:pPr>
            <w:r>
              <w:rPr>
                <w:rStyle w:val="19"/>
                <w:rFonts w:hint="default" w:ascii="Times New Roman" w:hAnsi="Times New Roman" w:eastAsia="仿宋_GB2312" w:cs="Times New Roman"/>
                <w:spacing w:val="-10"/>
                <w:sz w:val="28"/>
                <w:szCs w:val="28"/>
                <w:lang w:bidi="ar"/>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z w:val="28"/>
                <w:szCs w:val="28"/>
                <w:highlight w:val="none"/>
              </w:rPr>
            </w:pPr>
            <w:r>
              <w:rPr>
                <w:rStyle w:val="20"/>
                <w:rFonts w:hint="default" w:ascii="Times New Roman" w:hAnsi="Times New Roman" w:eastAsia="仿宋_GB2312" w:cs="Times New Roman"/>
                <w:spacing w:val="-10"/>
                <w:sz w:val="28"/>
                <w:szCs w:val="28"/>
                <w:highlight w:val="none"/>
                <w:lang w:bidi="ar"/>
              </w:rPr>
              <w:t>3.0</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highlight w:val="none"/>
              </w:rPr>
            </w:pPr>
            <w:r>
              <w:rPr>
                <w:rFonts w:hint="default" w:ascii="Times New Roman" w:hAnsi="Times New Roman" w:eastAsia="仿宋_GB2312" w:cs="Times New Roman"/>
                <w:spacing w:val="-10"/>
                <w:sz w:val="28"/>
                <w:szCs w:val="28"/>
                <w:highlight w:val="none"/>
                <w:lang w:val="en-US" w:eastAsia="zh-CN" w:bidi="ar"/>
              </w:rPr>
              <w:t>7</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8"/>
                <w:rFonts w:hint="default" w:ascii="Times New Roman" w:hAnsi="Times New Roman" w:eastAsia="仿宋_GB2312" w:cs="Times New Roman"/>
                <w:spacing w:val="-10"/>
                <w:sz w:val="28"/>
                <w:szCs w:val="28"/>
                <w:lang w:bidi="ar"/>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eastAsia="zh-CN"/>
              </w:rPr>
            </w:pPr>
            <w:r>
              <w:rPr>
                <w:rFonts w:hint="default" w:ascii="Times New Roman" w:hAnsi="Times New Roman" w:eastAsia="仿宋_GB2312" w:cs="Times New Roman"/>
                <w:spacing w:val="-10"/>
                <w:sz w:val="28"/>
                <w:szCs w:val="28"/>
                <w:lang w:val="en-US" w:eastAsia="zh-CN"/>
              </w:rPr>
              <w:t>5</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pacing w:val="-10"/>
                <w:sz w:val="28"/>
                <w:szCs w:val="28"/>
                <w:lang w:bidi="ar"/>
              </w:rPr>
            </w:pPr>
            <w:r>
              <w:rPr>
                <w:rStyle w:val="18"/>
                <w:rFonts w:hint="default" w:ascii="Times New Roman" w:hAnsi="Times New Roman" w:eastAsia="仿宋_GB2312" w:cs="Times New Roman"/>
                <w:spacing w:val="-10"/>
                <w:sz w:val="28"/>
                <w:szCs w:val="28"/>
                <w:lang w:bidi="ar"/>
              </w:rPr>
              <w:t>非常规水利用量</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pacing w:val="-10"/>
                <w:sz w:val="28"/>
                <w:szCs w:val="28"/>
                <w:lang w:bidi="ar"/>
              </w:rPr>
            </w:pPr>
            <w:r>
              <w:rPr>
                <w:rStyle w:val="18"/>
                <w:rFonts w:hint="default" w:ascii="Times New Roman" w:hAnsi="Times New Roman" w:eastAsia="仿宋_GB2312" w:cs="Times New Roman"/>
                <w:spacing w:val="-10"/>
                <w:sz w:val="28"/>
                <w:szCs w:val="28"/>
                <w:lang w:bidi="ar"/>
              </w:rPr>
              <w:t>亿</w:t>
            </w:r>
            <w:r>
              <w:rPr>
                <w:rStyle w:val="18"/>
                <w:rFonts w:hint="default" w:ascii="Times New Roman" w:hAnsi="Times New Roman" w:eastAsia="仿宋_GB2312" w:cs="Times New Roman"/>
                <w:sz w:val="28"/>
                <w:szCs w:val="28"/>
              </w:rPr>
              <w:t>立方米</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pacing w:val="-10"/>
                <w:sz w:val="28"/>
                <w:szCs w:val="28"/>
                <w:lang w:bidi="ar"/>
              </w:rPr>
            </w:pPr>
            <w:r>
              <w:rPr>
                <w:rStyle w:val="18"/>
                <w:rFonts w:hint="default" w:ascii="Times New Roman" w:hAnsi="Times New Roman" w:eastAsia="仿宋_GB2312" w:cs="Times New Roman"/>
                <w:sz w:val="28"/>
                <w:szCs w:val="28"/>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pacing w:val="-10"/>
                <w:sz w:val="28"/>
                <w:szCs w:val="28"/>
                <w:lang w:bidi="ar"/>
              </w:rPr>
            </w:pPr>
            <w:r>
              <w:rPr>
                <w:rStyle w:val="18"/>
                <w:rFonts w:hint="default" w:ascii="Times New Roman" w:hAnsi="Times New Roman" w:eastAsia="仿宋_GB2312" w:cs="Times New Roman"/>
                <w:sz w:val="28"/>
                <w:szCs w:val="28"/>
              </w:rPr>
              <w:t>0.11</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pacing w:val="-10"/>
                <w:sz w:val="28"/>
                <w:szCs w:val="28"/>
                <w:lang w:bidi="ar"/>
              </w:rPr>
            </w:pPr>
            <w:r>
              <w:rPr>
                <w:rStyle w:val="18"/>
                <w:rFonts w:hint="default" w:ascii="Times New Roman" w:hAnsi="Times New Roman" w:eastAsia="仿宋_GB2312" w:cs="Times New Roman"/>
                <w:sz w:val="28"/>
                <w:szCs w:val="28"/>
                <w:lang w:bidi="ar"/>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466"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eastAsia="zh-CN"/>
              </w:rPr>
            </w:pPr>
            <w:r>
              <w:rPr>
                <w:rFonts w:hint="default" w:ascii="Times New Roman" w:hAnsi="Times New Roman" w:eastAsia="仿宋_GB2312" w:cs="Times New Roman"/>
                <w:spacing w:val="-10"/>
                <w:sz w:val="28"/>
                <w:szCs w:val="28"/>
                <w:lang w:val="en-US" w:eastAsia="zh-CN"/>
              </w:rPr>
              <w:t>6</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lang w:bidi="ar"/>
              </w:rPr>
              <w:t>农村自来水普及率</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Style w:val="19"/>
                <w:rFonts w:hint="default" w:ascii="Times New Roman" w:hAnsi="Times New Roman" w:eastAsia="仿宋_GB2312" w:cs="Times New Roman"/>
                <w:spacing w:val="-10"/>
                <w:sz w:val="28"/>
                <w:szCs w:val="28"/>
                <w:lang w:bidi="ar"/>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9"/>
                <w:rFonts w:hint="default" w:ascii="Times New Roman" w:hAnsi="Times New Roman" w:eastAsia="仿宋_GB2312" w:cs="Times New Roman"/>
                <w:color w:val="auto"/>
                <w:spacing w:val="-10"/>
                <w:sz w:val="28"/>
                <w:szCs w:val="28"/>
                <w:lang w:bidi="ar"/>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9"/>
                <w:rFonts w:hint="default" w:ascii="Times New Roman" w:hAnsi="Times New Roman" w:eastAsia="仿宋_GB2312" w:cs="Times New Roman"/>
                <w:sz w:val="28"/>
                <w:szCs w:val="28"/>
                <w:lang w:bidi="ar"/>
              </w:rPr>
              <w:t>99</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8"/>
                <w:rFonts w:hint="default" w:ascii="Times New Roman" w:hAnsi="Times New Roman" w:eastAsia="仿宋_GB2312" w:cs="Times New Roman"/>
                <w:sz w:val="28"/>
                <w:szCs w:val="28"/>
                <w:lang w:bidi="ar"/>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466" w:type="pct"/>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val="en"/>
              </w:rPr>
            </w:pP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lang w:bidi="ar"/>
              </w:rPr>
              <w:t>规模化供水工程覆盖农村人口比例</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Style w:val="19"/>
                <w:rFonts w:hint="default" w:ascii="Times New Roman" w:hAnsi="Times New Roman" w:eastAsia="仿宋_GB2312" w:cs="Times New Roman"/>
                <w:spacing w:val="-10"/>
                <w:sz w:val="28"/>
                <w:szCs w:val="28"/>
                <w:lang w:bidi="ar"/>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lang w:bidi="ar"/>
              </w:rPr>
              <w:t>47.5</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lang w:bidi="ar"/>
              </w:rPr>
              <w:t>＞65</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8"/>
                <w:rFonts w:hint="default" w:ascii="Times New Roman" w:hAnsi="Times New Roman" w:eastAsia="仿宋_GB2312" w:cs="Times New Roman"/>
                <w:spacing w:val="-10"/>
                <w:sz w:val="28"/>
                <w:szCs w:val="28"/>
                <w:lang w:bidi="ar"/>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466"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val="en"/>
              </w:rPr>
            </w:pP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Fonts w:hint="default" w:ascii="Times New Roman" w:hAnsi="Times New Roman" w:eastAsia="仿宋_GB2312" w:cs="Times New Roman"/>
                <w:spacing w:val="-10"/>
                <w:sz w:val="28"/>
                <w:szCs w:val="28"/>
                <w:lang w:bidi="ar"/>
              </w:rPr>
              <w:t>农村供水县域统管比例</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Fonts w:hint="default" w:ascii="Times New Roman" w:hAnsi="Times New Roman" w:eastAsia="仿宋_GB2312" w:cs="Times New Roman"/>
                <w:spacing w:val="-10"/>
                <w:sz w:val="28"/>
                <w:szCs w:val="28"/>
                <w:lang w:bidi="ar"/>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Fonts w:hint="default" w:ascii="Times New Roman" w:hAnsi="Times New Roman" w:eastAsia="仿宋_GB2312" w:cs="Times New Roman"/>
                <w:spacing w:val="-10"/>
                <w:sz w:val="28"/>
                <w:szCs w:val="28"/>
                <w:lang w:bidi="ar"/>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Fonts w:hint="default" w:ascii="Times New Roman" w:hAnsi="Times New Roman" w:eastAsia="仿宋_GB2312" w:cs="Times New Roman"/>
                <w:spacing w:val="-10"/>
                <w:sz w:val="28"/>
                <w:szCs w:val="28"/>
                <w:lang w:bidi="ar"/>
              </w:rPr>
              <w:t>100</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z w:val="28"/>
                <w:szCs w:val="28"/>
              </w:rPr>
            </w:pPr>
            <w:r>
              <w:rPr>
                <w:rFonts w:hint="default" w:ascii="Times New Roman" w:hAnsi="Times New Roman" w:eastAsia="仿宋_GB2312" w:cs="Times New Roman"/>
                <w:spacing w:val="-10"/>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pacing w:val="-10"/>
                <w:sz w:val="28"/>
                <w:szCs w:val="28"/>
                <w:lang w:val="en-US" w:eastAsia="zh-CN"/>
              </w:rPr>
              <w:t>7</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Fonts w:hint="default" w:ascii="Times New Roman" w:hAnsi="Times New Roman" w:eastAsia="仿宋_GB2312" w:cs="Times New Roman"/>
                <w:spacing w:val="-10"/>
                <w:sz w:val="28"/>
                <w:szCs w:val="28"/>
                <w:lang w:bidi="ar"/>
              </w:rPr>
              <w:t>新增规模以上水利工程年供水能力</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Style w:val="18"/>
                <w:rFonts w:hint="default" w:ascii="Times New Roman" w:hAnsi="Times New Roman" w:eastAsia="仿宋_GB2312" w:cs="Times New Roman"/>
                <w:spacing w:val="-10"/>
                <w:sz w:val="28"/>
                <w:szCs w:val="28"/>
                <w:lang w:bidi="ar"/>
              </w:rPr>
              <w:t>亿</w:t>
            </w:r>
            <w:r>
              <w:rPr>
                <w:rStyle w:val="19"/>
                <w:rFonts w:hint="default" w:ascii="Times New Roman" w:hAnsi="Times New Roman" w:eastAsia="仿宋_GB2312" w:cs="Times New Roman"/>
                <w:spacing w:val="-10"/>
                <w:sz w:val="28"/>
                <w:szCs w:val="28"/>
                <w:lang w:bidi="ar"/>
              </w:rPr>
              <w:t>立方米</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Fonts w:hint="default" w:ascii="Times New Roman" w:hAnsi="Times New Roman" w:eastAsia="仿宋_GB2312" w:cs="Times New Roman"/>
                <w:spacing w:val="-10"/>
                <w:sz w:val="28"/>
                <w:szCs w:val="28"/>
                <w:lang w:bidi="ar"/>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Fonts w:hint="default" w:ascii="Times New Roman" w:hAnsi="Times New Roman" w:eastAsia="仿宋_GB2312" w:cs="Times New Roman"/>
                <w:spacing w:val="-10"/>
                <w:sz w:val="28"/>
                <w:szCs w:val="28"/>
                <w:lang w:bidi="ar"/>
              </w:rPr>
              <w:t>1</w:t>
            </w:r>
            <w:r>
              <w:rPr>
                <w:rFonts w:hint="default" w:ascii="Times New Roman" w:hAnsi="Times New Roman" w:eastAsia="仿宋_GB2312" w:cs="Times New Roman"/>
                <w:spacing w:val="-10"/>
                <w:sz w:val="28"/>
                <w:szCs w:val="28"/>
              </w:rPr>
              <w:t>.5</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bidi="ar"/>
              </w:rPr>
            </w:pPr>
            <w:r>
              <w:rPr>
                <w:rFonts w:hint="default" w:ascii="Times New Roman" w:hAnsi="Times New Roman" w:eastAsia="仿宋_GB2312" w:cs="Times New Roman"/>
                <w:spacing w:val="-10"/>
                <w:sz w:val="28"/>
                <w:szCs w:val="28"/>
                <w:lang w:bidi="ar"/>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val="en-US" w:eastAsia="zh-CN"/>
              </w:rPr>
            </w:pPr>
            <w:r>
              <w:rPr>
                <w:rFonts w:hint="default" w:ascii="Times New Roman" w:hAnsi="Times New Roman" w:eastAsia="仿宋_GB2312" w:cs="Times New Roman"/>
                <w:spacing w:val="-10"/>
                <w:sz w:val="28"/>
                <w:szCs w:val="28"/>
                <w:lang w:val="en-US" w:eastAsia="zh-CN"/>
              </w:rPr>
              <w:t>8</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水土保持率</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82.51</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val="en-US" w:eastAsia="zh-CN" w:bidi="ar"/>
              </w:rPr>
            </w:pPr>
            <w:r>
              <w:rPr>
                <w:rFonts w:hint="default" w:ascii="Times New Roman" w:hAnsi="Times New Roman" w:eastAsia="仿宋_GB2312" w:cs="Times New Roman"/>
                <w:spacing w:val="-10"/>
                <w:sz w:val="28"/>
                <w:szCs w:val="28"/>
                <w:lang w:bidi="ar"/>
              </w:rPr>
              <w:t>＞84.5</w:t>
            </w:r>
            <w:r>
              <w:rPr>
                <w:rFonts w:hint="default" w:ascii="Times New Roman" w:hAnsi="Times New Roman" w:eastAsia="仿宋_GB2312" w:cs="Times New Roman"/>
                <w:spacing w:val="-10"/>
                <w:sz w:val="28"/>
                <w:szCs w:val="28"/>
                <w:lang w:val="en-US" w:eastAsia="zh-CN" w:bidi="ar"/>
              </w:rPr>
              <w:t>5</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Style w:val="18"/>
                <w:rFonts w:hint="default" w:ascii="Times New Roman" w:hAnsi="Times New Roman" w:eastAsia="仿宋_GB2312" w:cs="Times New Roman"/>
                <w:sz w:val="28"/>
                <w:szCs w:val="28"/>
              </w:rPr>
            </w:pPr>
            <w:r>
              <w:rPr>
                <w:rStyle w:val="18"/>
                <w:rFonts w:hint="default" w:ascii="Times New Roman" w:hAnsi="Times New Roman" w:eastAsia="仿宋_GB2312" w:cs="Times New Roman"/>
                <w:spacing w:val="-10"/>
                <w:sz w:val="28"/>
                <w:szCs w:val="28"/>
                <w:lang w:bidi="ar"/>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9</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新增水土流失治理面积</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万平方公里</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0.175</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eastAsia="zh-CN"/>
              </w:rPr>
            </w:pPr>
            <w:r>
              <w:rPr>
                <w:rFonts w:hint="default" w:ascii="Times New Roman" w:hAnsi="Times New Roman" w:eastAsia="仿宋_GB2312" w:cs="Times New Roman"/>
                <w:spacing w:val="-10"/>
                <w:sz w:val="28"/>
                <w:szCs w:val="28"/>
              </w:rPr>
              <w:t>1</w:t>
            </w:r>
            <w:r>
              <w:rPr>
                <w:rFonts w:hint="default" w:ascii="Times New Roman" w:hAnsi="Times New Roman" w:eastAsia="仿宋_GB2312" w:cs="Times New Roman"/>
                <w:spacing w:val="-10"/>
                <w:sz w:val="28"/>
                <w:szCs w:val="28"/>
                <w:lang w:val="en-US" w:eastAsia="zh-CN"/>
              </w:rPr>
              <w:t>0</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重点河湖生态流量达标率</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val="en-US" w:eastAsia="zh-CN"/>
              </w:rPr>
            </w:pPr>
            <w:r>
              <w:rPr>
                <w:rFonts w:hint="default" w:ascii="Times New Roman" w:hAnsi="Times New Roman" w:eastAsia="仿宋_GB2312" w:cs="Times New Roman"/>
                <w:color w:val="auto"/>
                <w:spacing w:val="-10"/>
                <w:sz w:val="28"/>
                <w:szCs w:val="28"/>
                <w:highlight w:val="none"/>
                <w:lang w:val="en-US" w:eastAsia="zh-CN"/>
              </w:rPr>
              <w:t>98</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eastAsia="zh-CN"/>
              </w:rPr>
            </w:pPr>
            <w:r>
              <w:rPr>
                <w:rFonts w:hint="default" w:ascii="Times New Roman" w:hAnsi="Times New Roman" w:eastAsia="仿宋_GB2312" w:cs="Times New Roman"/>
                <w:spacing w:val="-10"/>
                <w:sz w:val="28"/>
                <w:szCs w:val="28"/>
              </w:rPr>
              <w:t>9</w:t>
            </w:r>
            <w:r>
              <w:rPr>
                <w:rFonts w:hint="default" w:ascii="Times New Roman" w:hAnsi="Times New Roman" w:eastAsia="仿宋_GB2312" w:cs="Times New Roman"/>
                <w:spacing w:val="-10"/>
                <w:sz w:val="28"/>
                <w:szCs w:val="28"/>
                <w:lang w:val="en-US" w:eastAsia="zh-CN"/>
              </w:rPr>
              <w:t>9</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Style w:val="18"/>
                <w:rFonts w:hint="default" w:ascii="Times New Roman" w:hAnsi="Times New Roman" w:eastAsia="仿宋_GB2312" w:cs="Times New Roman"/>
                <w:spacing w:val="-10"/>
                <w:sz w:val="28"/>
                <w:szCs w:val="28"/>
                <w:lang w:bidi="ar"/>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lang w:eastAsia="zh-CN"/>
              </w:rPr>
            </w:pPr>
            <w:r>
              <w:rPr>
                <w:rFonts w:hint="default" w:ascii="Times New Roman" w:hAnsi="Times New Roman" w:eastAsia="仿宋_GB2312" w:cs="Times New Roman"/>
                <w:spacing w:val="-10"/>
                <w:sz w:val="28"/>
                <w:szCs w:val="28"/>
              </w:rPr>
              <w:t>1</w:t>
            </w:r>
            <w:r>
              <w:rPr>
                <w:rFonts w:hint="default" w:ascii="Times New Roman" w:hAnsi="Times New Roman" w:eastAsia="仿宋_GB2312" w:cs="Times New Roman"/>
                <w:spacing w:val="-10"/>
                <w:sz w:val="28"/>
                <w:szCs w:val="28"/>
                <w:lang w:val="en-US" w:eastAsia="zh-CN"/>
              </w:rPr>
              <w:t>1</w:t>
            </w:r>
          </w:p>
        </w:tc>
        <w:tc>
          <w:tcPr>
            <w:tcW w:w="17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重大水利工程数字化率</w:t>
            </w:r>
          </w:p>
        </w:tc>
        <w:tc>
          <w:tcPr>
            <w:tcW w:w="74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25</w:t>
            </w:r>
          </w:p>
        </w:tc>
        <w:tc>
          <w:tcPr>
            <w:tcW w:w="6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default" w:ascii="Times New Roman" w:hAnsi="Times New Roman" w:eastAsia="仿宋_GB2312" w:cs="Times New Roman"/>
                <w:spacing w:val="-10"/>
                <w:sz w:val="28"/>
                <w:szCs w:val="28"/>
              </w:rPr>
            </w:pPr>
            <w:r>
              <w:rPr>
                <w:rFonts w:hint="default" w:ascii="Times New Roman" w:hAnsi="Times New Roman" w:eastAsia="仿宋_GB2312" w:cs="Times New Roman"/>
                <w:spacing w:val="-10"/>
                <w:sz w:val="28"/>
                <w:szCs w:val="28"/>
              </w:rPr>
              <w:t>预期性</w:t>
            </w:r>
          </w:p>
        </w:tc>
      </w:tr>
    </w:tbl>
    <w:p>
      <w:pPr>
        <w:keepNext w:val="0"/>
        <w:keepLines w:val="0"/>
        <w:pageBreakBefore w:val="0"/>
        <w:widowControl w:val="0"/>
        <w:kinsoku/>
        <w:wordWrap/>
        <w:overflowPunct/>
        <w:topLinePunct w:val="0"/>
        <w:autoSpaceDE/>
        <w:autoSpaceDN/>
        <w:bidi w:val="0"/>
        <w:adjustRightInd w:val="0"/>
        <w:snapToGrid w:val="0"/>
        <w:spacing w:after="0" w:line="560" w:lineRule="exact"/>
        <w:ind w:firstLine="474"/>
        <w:jc w:val="both"/>
        <w:textAlignment w:val="auto"/>
        <w:rPr>
          <w:rFonts w:hint="default" w:ascii="Times New Roman" w:hAnsi="Times New Roman" w:eastAsia="仿宋_GB2312" w:cs="Times New Roman"/>
          <w:sz w:val="24"/>
          <w:szCs w:val="20"/>
        </w:rPr>
      </w:pPr>
      <w:r>
        <w:rPr>
          <w:rFonts w:hint="default" w:ascii="Times New Roman" w:hAnsi="Times New Roman" w:eastAsia="仿宋_GB2312" w:cs="Times New Roman"/>
          <w:b/>
          <w:bCs/>
          <w:sz w:val="24"/>
          <w:szCs w:val="20"/>
        </w:rPr>
        <w:t>注：</w:t>
      </w:r>
      <w:r>
        <w:rPr>
          <w:rFonts w:hint="default" w:ascii="Times New Roman" w:hAnsi="Times New Roman" w:eastAsia="仿宋_GB2312" w:cs="Times New Roman"/>
          <w:sz w:val="24"/>
          <w:szCs w:val="20"/>
          <w:lang w:val="en-US" w:eastAsia="zh-CN"/>
        </w:rPr>
        <w:t>1</w:t>
      </w:r>
      <w:r>
        <w:rPr>
          <w:rFonts w:hint="default" w:ascii="Times New Roman" w:hAnsi="Times New Roman" w:eastAsia="仿宋_GB2312" w:cs="Times New Roman"/>
          <w:sz w:val="24"/>
          <w:szCs w:val="20"/>
        </w:rPr>
        <w:t>.用水总量控制指标、万元生产总值用水量下降、万元工业增加值用水量下降、农田灌溉水有效利用系数、非常规水利用量5项指标以国家正式下达为准。</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72"/>
        <w:jc w:val="both"/>
        <w:textAlignment w:val="auto"/>
        <w:rPr>
          <w:rFonts w:hint="default" w:ascii="Times New Roman" w:hAnsi="Times New Roman" w:eastAsia="仿宋_GB2312" w:cs="Times New Roman"/>
          <w:sz w:val="24"/>
          <w:szCs w:val="20"/>
        </w:rPr>
      </w:pPr>
      <w:r>
        <w:rPr>
          <w:rFonts w:hint="default" w:ascii="Times New Roman" w:hAnsi="Times New Roman" w:eastAsia="仿宋_GB2312" w:cs="Times New Roman"/>
          <w:sz w:val="24"/>
          <w:szCs w:val="20"/>
          <w:lang w:val="en-US" w:eastAsia="zh-CN"/>
        </w:rPr>
        <w:t>2</w:t>
      </w:r>
      <w:r>
        <w:rPr>
          <w:rFonts w:hint="default" w:ascii="Times New Roman" w:hAnsi="Times New Roman" w:eastAsia="仿宋_GB2312" w:cs="Times New Roman"/>
          <w:sz w:val="24"/>
          <w:szCs w:val="20"/>
        </w:rPr>
        <w:t>.万元国内生产总值用水量下降和万元工业增加值用水量下降是指较上一个五年规划末年下降比例，采用可比价计算。</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72"/>
        <w:jc w:val="both"/>
        <w:textAlignment w:val="auto"/>
        <w:rPr>
          <w:rFonts w:hint="default" w:ascii="Times New Roman" w:hAnsi="Times New Roman" w:eastAsia="仿宋_GB2312" w:cs="Times New Roman"/>
          <w:sz w:val="24"/>
          <w:szCs w:val="20"/>
        </w:rPr>
      </w:pPr>
      <w:r>
        <w:rPr>
          <w:rFonts w:hint="default" w:ascii="Times New Roman" w:hAnsi="Times New Roman" w:eastAsia="仿宋_GB2312" w:cs="Times New Roman"/>
          <w:sz w:val="24"/>
          <w:szCs w:val="20"/>
          <w:lang w:val="en-US" w:eastAsia="zh-CN"/>
        </w:rPr>
        <w:t>3</w:t>
      </w:r>
      <w:r>
        <w:rPr>
          <w:rFonts w:hint="default" w:ascii="Times New Roman" w:hAnsi="Times New Roman" w:eastAsia="仿宋_GB2312" w:cs="Times New Roman"/>
          <w:sz w:val="24"/>
          <w:szCs w:val="20"/>
        </w:rPr>
        <w:t>.农村自来水普及率指农村自来水供水人口（100人以上）占农村供水人口的比例。</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72"/>
        <w:jc w:val="both"/>
        <w:textAlignment w:val="auto"/>
        <w:rPr>
          <w:rFonts w:hint="default" w:ascii="Times New Roman" w:hAnsi="Times New Roman" w:eastAsia="仿宋_GB2312" w:cs="Times New Roman"/>
          <w:sz w:val="24"/>
          <w:szCs w:val="20"/>
        </w:rPr>
      </w:pPr>
      <w:r>
        <w:rPr>
          <w:rFonts w:hint="default" w:ascii="Times New Roman" w:hAnsi="Times New Roman" w:eastAsia="仿宋_GB2312" w:cs="Times New Roman"/>
          <w:sz w:val="24"/>
          <w:szCs w:val="20"/>
          <w:lang w:val="en-US" w:eastAsia="zh-CN"/>
        </w:rPr>
        <w:t>4</w:t>
      </w:r>
      <w:r>
        <w:rPr>
          <w:rFonts w:hint="default" w:ascii="Times New Roman" w:hAnsi="Times New Roman" w:eastAsia="仿宋_GB2312" w:cs="Times New Roman"/>
          <w:sz w:val="24"/>
          <w:szCs w:val="20"/>
        </w:rPr>
        <w:t>.农村供水县域统管比例是指实现县域统管的县域数量占全市有农村供水人口的县域总数的比例。</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72"/>
        <w:jc w:val="both"/>
        <w:textAlignment w:val="auto"/>
        <w:rPr>
          <w:rFonts w:hint="default" w:ascii="Times New Roman" w:hAnsi="Times New Roman" w:eastAsia="仿宋_GB2312" w:cs="Times New Roman"/>
          <w:sz w:val="24"/>
          <w:szCs w:val="20"/>
        </w:rPr>
      </w:pPr>
      <w:r>
        <w:rPr>
          <w:rFonts w:hint="default" w:ascii="Times New Roman" w:hAnsi="Times New Roman" w:eastAsia="仿宋_GB2312" w:cs="Times New Roman"/>
          <w:sz w:val="24"/>
          <w:szCs w:val="20"/>
          <w:lang w:val="en-US" w:eastAsia="zh-CN"/>
        </w:rPr>
        <w:t>5</w:t>
      </w:r>
      <w:r>
        <w:rPr>
          <w:rFonts w:hint="default" w:ascii="Times New Roman" w:hAnsi="Times New Roman" w:eastAsia="仿宋_GB2312" w:cs="Times New Roman"/>
          <w:sz w:val="24"/>
          <w:szCs w:val="20"/>
        </w:rPr>
        <w:t>.耕地灌溉面积指年末耕地灌溉面积达到值。</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72"/>
        <w:jc w:val="both"/>
        <w:textAlignment w:val="auto"/>
        <w:rPr>
          <w:rFonts w:hint="default" w:ascii="Times New Roman" w:hAnsi="Times New Roman" w:eastAsia="仿宋_GB2312" w:cs="Times New Roman"/>
          <w:sz w:val="24"/>
          <w:szCs w:val="20"/>
        </w:rPr>
      </w:pPr>
      <w:r>
        <w:rPr>
          <w:rFonts w:hint="default" w:ascii="Times New Roman" w:hAnsi="Times New Roman" w:eastAsia="仿宋_GB2312" w:cs="Times New Roman"/>
          <w:sz w:val="24"/>
          <w:szCs w:val="20"/>
          <w:lang w:val="en-US" w:eastAsia="zh-CN"/>
        </w:rPr>
        <w:t>6</w:t>
      </w:r>
      <w:r>
        <w:rPr>
          <w:rFonts w:hint="default" w:ascii="Times New Roman" w:hAnsi="Times New Roman" w:eastAsia="仿宋_GB2312" w:cs="Times New Roman"/>
          <w:sz w:val="24"/>
          <w:szCs w:val="20"/>
        </w:rPr>
        <w:t>.重点河湖生态流量达标率是指纳入生态流量保障重要河湖名录的河流和湖泊控制断面生态流量达标比例，纳入考核的断面数量每年按程序确定或调整。</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72"/>
        <w:jc w:val="both"/>
        <w:textAlignment w:val="auto"/>
        <w:rPr>
          <w:rFonts w:hint="default" w:ascii="Times New Roman" w:hAnsi="Times New Roman" w:eastAsia="仿宋_GB2312" w:cs="Times New Roman"/>
          <w:sz w:val="24"/>
          <w:szCs w:val="20"/>
        </w:rPr>
      </w:pPr>
      <w:r>
        <w:rPr>
          <w:rFonts w:hint="default" w:ascii="Times New Roman" w:hAnsi="Times New Roman" w:eastAsia="仿宋_GB2312" w:cs="Times New Roman"/>
          <w:sz w:val="24"/>
          <w:szCs w:val="20"/>
          <w:lang w:val="en-US" w:eastAsia="zh-CN"/>
        </w:rPr>
        <w:t>7</w:t>
      </w:r>
      <w:r>
        <w:rPr>
          <w:rFonts w:hint="default" w:ascii="Times New Roman" w:hAnsi="Times New Roman" w:eastAsia="仿宋_GB2312" w:cs="Times New Roman"/>
          <w:sz w:val="24"/>
          <w:szCs w:val="20"/>
        </w:rPr>
        <w:t>.重大水利工程数字化率是指大型水库、重大引调水、大型灌区工程等重大工程实现全周期数字化、全要素监测占工程总量的比例。</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二、完善“五大体系”</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（一）循环畅通水资源配置体系。</w:t>
      </w:r>
      <w:r>
        <w:rPr>
          <w:rFonts w:hint="default" w:ascii="Times New Roman" w:hAnsi="Times New Roman" w:eastAsia="仿宋_GB2312" w:cs="Times New Roman"/>
          <w:sz w:val="32"/>
          <w:szCs w:val="32"/>
        </w:rPr>
        <w:t>规划构建“外引内蓄、多源互联、连通联调”循环畅通水资源配置网，立足全市水资源空间均衡，加快市县两级水网建设，积极融入国家和省级水网，实现水资源高效调控。</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1.推进三横五纵水网之“纲”工程。</w:t>
      </w:r>
      <w:r>
        <w:rPr>
          <w:rFonts w:hint="default" w:ascii="Times New Roman" w:hAnsi="Times New Roman" w:eastAsia="仿宋_GB2312" w:cs="Times New Roman"/>
          <w:sz w:val="32"/>
          <w:szCs w:val="32"/>
        </w:rPr>
        <w:t>以引嘉入汉—汉江干流—引汉济渭为“中心横线”，服务陕西西线水资源配置和“岭南横线”建设，改善引汉济渭调水过程。以石门—千山—焦岩—党河—卡房等水库供水灌溉渠（管）道构建汉江“北岸横线”，以玉带河—云河—红寺坝—狮子崖—南沙河—沙河构建汉江“南岸横线”，依托穿江供水管网建成跨江南北循环供水体系。统筹5条纵向天然水系通道系统治理与生态修复，形成保障汉中水安全的骨干网络。</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2.推进补网强链水网之“目”工程。</w:t>
      </w:r>
      <w:r>
        <w:rPr>
          <w:rFonts w:hint="default" w:ascii="Times New Roman" w:hAnsi="Times New Roman" w:eastAsia="仿宋_GB2312" w:cs="Times New Roman"/>
          <w:sz w:val="32"/>
          <w:szCs w:val="32"/>
        </w:rPr>
        <w:t>以三横五纵水网之“纲”为基础，推进“引嘉入汉”一期引调水工程，强化市县水网与国家、省级水网互联互通。逐步推进焦岩、石门、玉带河等骨干水源工程供水管网互联，稳步实施重点灌区、灌排渠系、渠道与塘库调水补水等水系连通工程，形成以自然河湖为基础、引调排水工程为通道、调蓄工程为结点、供水灌溉渠系为末梢的水资源配置网络。</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3.推进三枢多点水网之“结”工程。</w:t>
      </w:r>
      <w:r>
        <w:rPr>
          <w:rFonts w:hint="default" w:ascii="Times New Roman" w:hAnsi="Times New Roman" w:eastAsia="仿宋_GB2312" w:cs="Times New Roman"/>
          <w:sz w:val="32"/>
          <w:szCs w:val="32"/>
        </w:rPr>
        <w:t>充分挖掘现有中小型调蓄工程供水潜力，加快焦岩水利枢纽建设，推进焦岩灌溉供水工程和玉带河水库开工。建成南郑狮子崖水库、镇巴自强水库，推进洋县宏岭、西乡中西、镇巴黎坝等中小型水库前期工作，形成“建成一批、开工一批、储备一批”梯次格局，增强区域水资源调配与供水保障能力。</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（二）风险可控水旱灾害防御体系。</w:t>
      </w:r>
      <w:r>
        <w:rPr>
          <w:rFonts w:hint="default" w:ascii="Times New Roman" w:hAnsi="Times New Roman" w:eastAsia="仿宋_GB2312" w:cs="Times New Roman"/>
          <w:sz w:val="32"/>
          <w:szCs w:val="32"/>
        </w:rPr>
        <w:t>规划构建“扩排、增蓄、控险”风险可控水旱灾害防御网，遵循“两个坚持、三个转变”防灾减灾救灾新理念，统筹洪水蓄、滞、泄、排关系，提升洪涝灾害防御和应急抢险救灾能力。</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1.完善江河防洪工程体系。</w:t>
      </w:r>
      <w:r>
        <w:rPr>
          <w:rFonts w:hint="default" w:ascii="Times New Roman" w:hAnsi="Times New Roman" w:eastAsia="仿宋_GB2312" w:cs="Times New Roman"/>
          <w:sz w:val="32"/>
          <w:szCs w:val="32"/>
        </w:rPr>
        <w:t>统筹汉江干支流、嘉陵江和中小河流系统治理。继续实施汉江、褒河等6条重点中小河流防洪治理，推进重点河段堤防新建与加固改造。全力推进徐家坪水库建设，加快略阳县城区段堤防加高加固工程，提升县城防洪能力。治理南郑濂水河、城固文川河等中小河流，优先实施沿河重要城镇和集中连片基本农田河段治理。持续开展病险河道水闸除险加固。</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2.加强老旧水库提升改造。</w:t>
      </w:r>
      <w:r>
        <w:rPr>
          <w:rFonts w:hint="default" w:ascii="Times New Roman" w:hAnsi="Times New Roman" w:eastAsia="仿宋_GB2312" w:cs="Times New Roman"/>
          <w:sz w:val="32"/>
          <w:szCs w:val="32"/>
        </w:rPr>
        <w:t>树牢极限思维、底线思维，锚定“水库不垮坝”目标，系统推进老旧水库改造提升，严格项目建设管理，规范前期工作，加强全流程全要素监管，提升老旧水库安全保障能力，确保水库长期安全稳定运行。</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3.推进山洪灾害防治。</w:t>
      </w:r>
      <w:r>
        <w:rPr>
          <w:rFonts w:hint="default" w:ascii="Times New Roman" w:hAnsi="Times New Roman" w:eastAsia="仿宋_GB2312" w:cs="Times New Roman"/>
          <w:sz w:val="32"/>
          <w:szCs w:val="32"/>
        </w:rPr>
        <w:t>加快推进93条山洪沟道治理，动态调整山洪灾害危险区清单，持续完善监测预警设施和群防群策体系，完善“四预”措施，全面提升山区防灾减灾能力。加快汉江上游涝区治理等工程，畅通涝水外排出路。</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4.健全抗旱供水保障体系。</w:t>
      </w:r>
      <w:r>
        <w:rPr>
          <w:rFonts w:hint="default" w:ascii="Times New Roman" w:hAnsi="Times New Roman" w:eastAsia="仿宋_GB2312" w:cs="Times New Roman"/>
          <w:sz w:val="32"/>
          <w:szCs w:val="32"/>
        </w:rPr>
        <w:t>在脱贫地区及供水水源不稳定、洪涝干旱易发区域实施中小型水库和抗旱应急备用水源工程建设，最大程度将水源工程供水管网渠系延伸拉长。</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5.提升水旱灾害防御调度水平。</w:t>
      </w:r>
      <w:r>
        <w:rPr>
          <w:rFonts w:hint="default" w:ascii="Times New Roman" w:hAnsi="Times New Roman" w:eastAsia="仿宋_GB2312" w:cs="Times New Roman"/>
          <w:sz w:val="32"/>
          <w:szCs w:val="32"/>
        </w:rPr>
        <w:t>完善流域洪水防御方案、水利工程调度方案和抗旱应急预案，提升暴雨洪水、重大干旱等应对处置能力。全面建成以等高线为基准的洪水淹没风险图，逐步推进江河水库洪水防御智慧化联调联控体系建设，提高调度预警精准度。</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（三）安全可靠城乡供水保障体系。</w:t>
      </w:r>
      <w:r>
        <w:rPr>
          <w:rFonts w:hint="default" w:ascii="Times New Roman" w:hAnsi="Times New Roman" w:eastAsia="仿宋_GB2312" w:cs="Times New Roman"/>
          <w:sz w:val="32"/>
          <w:szCs w:val="32"/>
        </w:rPr>
        <w:t>规划构建“东西互联、南北互通、跨江循环”安全可靠供水保障网，平川地区逐步建成跨江循环H型“两主两备”安全供水保障体系，山区县实施小型供水工程规范化建设和改造，稳步提升供水保障水平。</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1.提升平川区域规模化供水水平。</w:t>
      </w:r>
      <w:r>
        <w:rPr>
          <w:rFonts w:hint="default" w:ascii="Times New Roman" w:hAnsi="Times New Roman" w:eastAsia="仿宋_GB2312" w:cs="Times New Roman"/>
          <w:sz w:val="32"/>
          <w:szCs w:val="32"/>
        </w:rPr>
        <w:t>按照“建大、并中、减小”要求，以县域为单元，依托大水源、建设大水厂、接入大管网，优先推进城市水厂管网向近郊乡镇、重点园区延伸，重点打造千吨</w:t>
      </w:r>
      <w:r>
        <w:rPr>
          <w:rFonts w:hint="default" w:ascii="Times New Roman" w:hAnsi="Times New Roman" w:eastAsia="仿宋_GB2312" w:cs="Times New Roman"/>
          <w:spacing w:val="-6"/>
          <w:sz w:val="32"/>
          <w:szCs w:val="32"/>
        </w:rPr>
        <w:t>万人以上规模化供水工程，以骨干工程为核心辐射带动周边小型工程整合升级，逐步形成“区域一体、片区联网”的供水网络体系。</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2.提升丘陵山区集中供水能力。</w:t>
      </w:r>
      <w:r>
        <w:rPr>
          <w:rFonts w:hint="default" w:ascii="Times New Roman" w:hAnsi="Times New Roman" w:eastAsia="仿宋_GB2312" w:cs="Times New Roman"/>
          <w:sz w:val="32"/>
          <w:szCs w:val="32"/>
        </w:rPr>
        <w:t>按规模化可行区、规范改造区两类推进，衔接平川供水带，形成全域互补格局。规模化可行区依托集镇节点推进联网并网，规范改造区聚焦小工程提质和水源优化，推进管网延伸与联村并网，扩大集中供水范围。</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3.加快现代化灌区建设。</w:t>
      </w:r>
      <w:r>
        <w:rPr>
          <w:rFonts w:hint="default" w:ascii="Times New Roman" w:hAnsi="Times New Roman" w:eastAsia="仿宋_GB2312" w:cs="Times New Roman"/>
          <w:sz w:val="32"/>
          <w:szCs w:val="32"/>
        </w:rPr>
        <w:t>推进焦岩、引酉二期新建灌区落地实施。推进石门灌区现代化改造前期工作，稳步推进傥河、沙河等8处中型灌区续建配套与节水改造，完善灌排体系，农田灌溉水有效利用系数提高到0.56以上。</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4.加强大中型水库移民后期扶持。</w:t>
      </w:r>
      <w:r>
        <w:rPr>
          <w:rFonts w:hint="default" w:ascii="Times New Roman" w:hAnsi="Times New Roman" w:eastAsia="仿宋_GB2312" w:cs="Times New Roman"/>
          <w:sz w:val="32"/>
          <w:szCs w:val="32"/>
        </w:rPr>
        <w:t>落实水库移民后期扶持政策，做好直补资金发放和项目实施，通过美丽家园建设、产业发展、创业就业能力建设、基础设施完善等措施，改善库区和移民安置区生产生活条件，促进移民增收，确保移民人均可支配收入达到或超过当地农村居民平均水平。</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（四）河湖复苏水生态保护治理体系。</w:t>
      </w:r>
      <w:r>
        <w:rPr>
          <w:rFonts w:hint="default" w:ascii="Times New Roman" w:hAnsi="Times New Roman" w:eastAsia="仿宋_GB2312" w:cs="Times New Roman"/>
          <w:sz w:val="32"/>
          <w:szCs w:val="32"/>
        </w:rPr>
        <w:t>统筹山水林田湖草沙一体化保护和系统治理，以流域为单元统筹推进水生态修复、水环境保护、水文化传承和岸线保护，全面建设安澜江河、生命江河、幸福江河。</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1.实施水生态修复工程。</w:t>
      </w:r>
      <w:r>
        <w:rPr>
          <w:rFonts w:hint="default" w:ascii="Times New Roman" w:hAnsi="Times New Roman" w:eastAsia="仿宋_GB2312" w:cs="Times New Roman"/>
          <w:sz w:val="32"/>
          <w:szCs w:val="32"/>
        </w:rPr>
        <w:t>落实“汉江碧水东流”行动，以确保“一泓清水永续北上”为目标，统筹山水林田湖草沙系统治理，强化汉江流域水质保护。重点推进褒河、濂水河、冷水河、文庙河等水系治理，谋划实施以中心城区水系治理为重点的南水北调中线水源地水生态保护修复工程。结合灌区改造和小流域治理，建设水美乡村。</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2.有序推进幸福河湖建设。</w:t>
      </w:r>
      <w:r>
        <w:rPr>
          <w:rFonts w:hint="default" w:ascii="Times New Roman" w:hAnsi="Times New Roman" w:eastAsia="仿宋_GB2312" w:cs="Times New Roman"/>
          <w:sz w:val="32"/>
          <w:szCs w:val="32"/>
        </w:rPr>
        <w:t>以市县“母亲河”和重要水源涵养河流为重点，强化“一河（湖）一策”精准治理，谋划实施牧马河、文川河、濂水河等18条河流幸福河湖建设，打造秦巴地区幸福河湖建设样板。</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3.实施“幸福园”品质提升工程。</w:t>
      </w:r>
      <w:r>
        <w:rPr>
          <w:rFonts w:hint="default" w:ascii="Times New Roman" w:hAnsi="Times New Roman" w:eastAsia="仿宋_GB2312" w:cs="Times New Roman"/>
          <w:sz w:val="32"/>
          <w:szCs w:val="32"/>
        </w:rPr>
        <w:t>实施天汉湿地公园整体性保护和系统性修复，对水利设施、安防体系、交通网络、公共服务设施等进行维修改造，提升智慧化水平和文化内涵。推动“幸福园”建设理念向支流及县区延伸，促进幸福河湖建设提标扩面。</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4.加强水土流失综合治理。</w:t>
      </w:r>
      <w:r>
        <w:rPr>
          <w:rFonts w:hint="default" w:ascii="Times New Roman" w:hAnsi="Times New Roman" w:eastAsia="仿宋_GB2312" w:cs="Times New Roman"/>
          <w:sz w:val="32"/>
          <w:szCs w:val="32"/>
        </w:rPr>
        <w:t>持续推进小流域综合治理提质增效及生态清洁小流域建设，接续实施丹江口库区及上游区域水土保持工程，在重点区域整沟、整村、整镇一体化推进，实现水土流失系统治理。创建留坝县水土保持示范县、佛坪县银厂沟清洁小流域示范工程。“十五五”末期水保率达到84.55%。</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5.推进水利风景区建设。</w:t>
      </w:r>
      <w:r>
        <w:rPr>
          <w:rFonts w:hint="default" w:ascii="Times New Roman" w:hAnsi="Times New Roman" w:eastAsia="仿宋_GB2312" w:cs="Times New Roman"/>
          <w:sz w:val="32"/>
          <w:szCs w:val="32"/>
        </w:rPr>
        <w:t>依托水库、灌区、河道湿地、古堰水利遗产等资源，培育一批市级水利风景区，形成9县2区协同推进的水利风景区发展矩阵。到2030年，全市新增一批省级以上水利风景区，市级水利风景区实现重点河湖、大中型水库基本覆盖。探索“景区+”融合模式，加强水利风景区建设，推进与幸福河湖建设、河湖库渠工程融合发展，助力秦巴生态价值转化。创新景区建设运营管理机制，推进景区数智化管理，提升风险防控和监管质效。</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（五）智慧赋能水利数智化体系。</w:t>
      </w:r>
      <w:r>
        <w:rPr>
          <w:rFonts w:hint="default" w:ascii="Times New Roman" w:hAnsi="Times New Roman" w:eastAsia="仿宋_GB2312" w:cs="Times New Roman"/>
          <w:sz w:val="32"/>
          <w:szCs w:val="32"/>
        </w:rPr>
        <w:t>规划构建“需求引领、精准四预、调控有序”水利数智化体系，加快推动水利信息化建设实现新突破。</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1.构建水利全要素监测感知体系。</w:t>
      </w:r>
      <w:r>
        <w:rPr>
          <w:rFonts w:hint="default" w:ascii="Times New Roman" w:hAnsi="Times New Roman" w:eastAsia="仿宋_GB2312" w:cs="Times New Roman"/>
          <w:sz w:val="32"/>
          <w:szCs w:val="32"/>
        </w:rPr>
        <w:t>加密自动监测站点，提高感知覆盖范围，加快雷达、水位站、雨量站、视频监控、无人机等监测设施建设，在山洪沟、水库、河道、亲水平台等重点区域搭建多层次、动态化监测感知网络，加强监测感知数据资源共享，强化监测感知网对水利对象全要素和水利治理管理全过程的立体化覆盖，持续提升网络和数据安全保障能力。</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2.加快智能化业务应用场景建设。</w:t>
      </w:r>
      <w:r>
        <w:rPr>
          <w:rFonts w:hint="default" w:ascii="Times New Roman" w:hAnsi="Times New Roman" w:eastAsia="仿宋_GB2312" w:cs="Times New Roman"/>
          <w:sz w:val="32"/>
          <w:szCs w:val="32"/>
        </w:rPr>
        <w:t>有序实施已建重大水利工程数智化升级改造，加快构建现代化水库运行管理矩阵；统筹开展新建重大水利工程智慧系统配套建设，实现工程建设运行管理全周期数智化赋能；推进河湖智慧监管体系建设，融合无人机、智能监测终端等技术，实现水域岸线动态监管与智能识别；推进灌区信息化改造，在干支渠关键节点部署自动化计量、视频监控及电气化水闸，提升灌区节水改造效能。加快农村安全饮水智慧管理平台建设。对已建集中供水工程分批次实施智能化改造，新建集中供水工程落实智慧化系统同步设计、同步建设、同步投运，实现供水风险早发现、早预警、早处置。</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三、夯实“五项监管”</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持依法治水、科学管水，强化全过程、全要素监管，着力构建“刚性约束、河湖长制、水土保持、质量安全、法治改革”五位一体监管格局，全面提升涉水事务监管水平。在抓实工程硬件建设的同时，更好抓实制度建设和社会动员，逐步理顺利益关系、规范人的行为、转变公众观念，推动实现从工程治水向人水和谐共生转变。</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（一）水资源刚性约束监管。</w:t>
      </w:r>
      <w:r>
        <w:rPr>
          <w:rFonts w:hint="default" w:ascii="Times New Roman" w:hAnsi="Times New Roman" w:eastAsia="仿宋_GB2312" w:cs="Times New Roman"/>
          <w:sz w:val="32"/>
          <w:szCs w:val="32"/>
        </w:rPr>
        <w:t>坚持“四水四定”，节水优先，把水资源作为最大刚性约束，精打细算用好水资源，从严从细管好水资源，推动经济社会发展与水资源承载能力相适应。</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1.落实水资源配置机制。</w:t>
      </w:r>
      <w:r>
        <w:rPr>
          <w:rFonts w:hint="default" w:ascii="Times New Roman" w:hAnsi="Times New Roman" w:eastAsia="仿宋_GB2312" w:cs="Times New Roman"/>
          <w:sz w:val="32"/>
          <w:szCs w:val="32"/>
        </w:rPr>
        <w:t>探索推进水权交易。配合省级开展水权收储工作，在水资源承载能力范围内，通过政府配置或市场交易实现二次优化，提升资源利用效率。</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2.强化水资源源头管控。</w:t>
      </w:r>
      <w:r>
        <w:rPr>
          <w:rFonts w:hint="default" w:ascii="Times New Roman" w:hAnsi="Times New Roman" w:eastAsia="仿宋_GB2312" w:cs="Times New Roman"/>
          <w:sz w:val="32"/>
          <w:szCs w:val="32"/>
        </w:rPr>
        <w:t>将水资源论证作为规划审批和建设项目取水许可的前置条件，重点发展规划、重大产业布局、各类开发区和新区规划涉及水资源开发利用的，必须开展规划水资源论证。</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3.强化水资源统一调度。</w:t>
      </w:r>
      <w:r>
        <w:rPr>
          <w:rFonts w:hint="default" w:ascii="Times New Roman" w:hAnsi="Times New Roman" w:eastAsia="仿宋_GB2312" w:cs="Times New Roman"/>
          <w:sz w:val="32"/>
          <w:szCs w:val="32"/>
        </w:rPr>
        <w:t>严格执行陕西省水资源调度管理办法，开展汉江、嘉陵江水资源调度，推进调度向支流延伸。落实汉江、嘉陵江生态流量保障方案，确保重要断面生态流量达标。推进地下水“双控”管理，加强监测站运行维护和水位动态监测，加大违规取用地下水查处力度。</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4.强化取用水日常监管。</w:t>
      </w:r>
      <w:r>
        <w:rPr>
          <w:rFonts w:hint="default" w:ascii="Times New Roman" w:hAnsi="Times New Roman" w:eastAsia="仿宋_GB2312" w:cs="Times New Roman"/>
          <w:sz w:val="32"/>
          <w:szCs w:val="32"/>
        </w:rPr>
        <w:t>推进取水口监测计量体系建设，利用取用水管理平台建立违规取水问题排查整改常态化机制，加强取用水监管与水行政执法协同，依法查处未经批准擅自取水、超许可取水、无计量取水等违法违规行为。</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5.推进国家节水行动落实。</w:t>
      </w:r>
      <w:r>
        <w:rPr>
          <w:rFonts w:hint="default" w:ascii="Times New Roman" w:hAnsi="Times New Roman" w:eastAsia="仿宋_GB2312" w:cs="Times New Roman"/>
          <w:sz w:val="32"/>
          <w:szCs w:val="32"/>
        </w:rPr>
        <w:t>深度实施农业节水增效，促进工业节水减排，推进城镇节水降损。严格计划用水管理，落实用水定额管理制度，强化农业水价综合改革成效监管，推进大中型灌区续建配套和现代化改造。加大农村供水计量收费监管力度，推广农村生活节水器具，提升农村居民节约用水自觉性。严格工业项目取水许可和计划用水管理，对火电、钢铁、有色等高耗水行业实行用水全过程计量监控。</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（二）河湖长制监管。</w:t>
      </w:r>
      <w:r>
        <w:rPr>
          <w:rFonts w:hint="default" w:ascii="Times New Roman" w:hAnsi="Times New Roman" w:eastAsia="仿宋_GB2312" w:cs="Times New Roman"/>
          <w:sz w:val="32"/>
          <w:szCs w:val="32"/>
        </w:rPr>
        <w:t>一以贯之强化河湖长制，严守生态保护红线、水环境质量底线和水资源利用上限，完善河湖生态空间管控长效机制，构建上下游贯通一体的江河湖库保护治理格局。</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1.压实河湖长责任体系。</w:t>
      </w:r>
      <w:r>
        <w:rPr>
          <w:rFonts w:hint="default" w:ascii="Times New Roman" w:hAnsi="Times New Roman" w:eastAsia="仿宋_GB2312" w:cs="Times New Roman"/>
          <w:sz w:val="32"/>
          <w:szCs w:val="32"/>
        </w:rPr>
        <w:t>压实市县镇村四级河湖长和成员单位责任，动态公示河湖长名单，完善村级河湖长工作室规范化建设。深化“河湖长+警长+检察长+法院院长”“河湖长+志愿者”等协作机制，探索“幸福河湖”长效管护市场化、社会化机制，在有条件的县区落实护河员补助经费。</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2.严格河湖岸线空间管控。</w:t>
      </w:r>
      <w:r>
        <w:rPr>
          <w:rFonts w:hint="default" w:ascii="Times New Roman" w:hAnsi="Times New Roman" w:eastAsia="仿宋_GB2312" w:cs="Times New Roman"/>
          <w:sz w:val="32"/>
          <w:szCs w:val="32"/>
        </w:rPr>
        <w:t>科学划定河湖库管理范围，统筹纳入国土空间规划“一张图”。纵深推进“清四乱”常态化规范化，巩固小水电整治成果，深化河道非法采砂整治和河湖库清漂，建立有奖举报机制，严格河道清淤疏浚项目论证审批。结合城市、农村、郊野等区域特点，在管理范围边界基础上探索向陆域延伸适当宽度，合理划定河湖管理保护控制带，加强对河湖周边房地产、工矿企业、化工园区等“贴线”开发管控，让群众见山见水、共享河湖公共空间。</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3.强化流域生态功能保护。</w:t>
      </w:r>
      <w:r>
        <w:rPr>
          <w:rFonts w:hint="default" w:ascii="Times New Roman" w:hAnsi="Times New Roman" w:eastAsia="仿宋_GB2312" w:cs="Times New Roman"/>
          <w:sz w:val="32"/>
          <w:szCs w:val="32"/>
        </w:rPr>
        <w:t>落实分区域、差异化、精准管控要求，推进山水林田湖草沙一体化保护和系统治理。以汉江、嘉陵江干流和主要支流为骨架，以水库、湿地等为节点，构建江河生态保护带，筑牢流域生态安全基础。</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（三）水土保持监管。</w:t>
      </w:r>
      <w:r>
        <w:rPr>
          <w:rFonts w:hint="default" w:ascii="Times New Roman" w:hAnsi="Times New Roman" w:eastAsia="仿宋_GB2312" w:cs="Times New Roman"/>
          <w:sz w:val="32"/>
          <w:szCs w:val="32"/>
        </w:rPr>
        <w:t>以生产建设项目全链条监管为核心，强化源头管控、过程监督、事后追责，构建权责明晰、协同高效的监督管理体系。</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1.严格空间管控和源头审批。</w:t>
      </w:r>
      <w:r>
        <w:rPr>
          <w:rFonts w:hint="default" w:ascii="Times New Roman" w:hAnsi="Times New Roman" w:eastAsia="仿宋_GB2312" w:cs="Times New Roman"/>
          <w:sz w:val="32"/>
          <w:szCs w:val="32"/>
        </w:rPr>
        <w:t>科学划定水土流失重点防治区和禁止开垦陡坡地范围。将水土保持方案作为生产建设项目开工的前置条件，对涉及重点防治区及禁止开垦陡坡地的项目从严审批，严禁在管控禁止区域违规建设。推行方案线上审批，提高审批效率。</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2.强化全过程监督和验收管理。</w:t>
      </w:r>
      <w:r>
        <w:rPr>
          <w:rFonts w:hint="default" w:ascii="Times New Roman" w:hAnsi="Times New Roman" w:eastAsia="仿宋_GB2312" w:cs="Times New Roman"/>
          <w:sz w:val="32"/>
          <w:szCs w:val="32"/>
        </w:rPr>
        <w:t>依托水土保持监管信息平台，对项目建设全过程实行动态监控。严查未批先建、不按方案施工、违规侵占管控区域等违法行为，形成“发现—复核—整改”</w:t>
      </w:r>
      <w:r>
        <w:rPr>
          <w:rFonts w:hint="default" w:ascii="Times New Roman" w:hAnsi="Times New Roman" w:eastAsia="仿宋_GB2312" w:cs="Times New Roman"/>
          <w:spacing w:val="-6"/>
          <w:sz w:val="32"/>
          <w:szCs w:val="32"/>
        </w:rPr>
        <w:t>闭环机制。强化验后核查，对重大项目及高风险项目实行验收核查，严查虚假验收、“带病投产”行为。对各类违法行为，综合运用责令停止违法、限期整改、行政处罚、信用惩戒等措施依法严惩。</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3.健全水土保持信用体系。</w:t>
      </w:r>
      <w:r>
        <w:rPr>
          <w:rFonts w:hint="default" w:ascii="Times New Roman" w:hAnsi="Times New Roman" w:eastAsia="仿宋_GB2312" w:cs="Times New Roman"/>
          <w:sz w:val="32"/>
          <w:szCs w:val="32"/>
        </w:rPr>
        <w:t>依据生产建设单位及参建方在方案执行、“三同时”制度落实、监测数据真实性、验收合规性等方面的表现进行信用评价，实施守信激励和失信联合惩戒，将严重失信单位推送至全国信用信息共享平台。</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（四）质量安全监管。</w:t>
      </w:r>
      <w:r>
        <w:rPr>
          <w:rFonts w:hint="default" w:ascii="Times New Roman" w:hAnsi="Times New Roman" w:eastAsia="仿宋_GB2312" w:cs="Times New Roman"/>
          <w:sz w:val="32"/>
          <w:szCs w:val="32"/>
        </w:rPr>
        <w:t>以水利工程标准化管理为抓手，健全责任体系和监管机制，提升水利工程建设运行质量安全水平。</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1.压实质量安全责任体系。</w:t>
      </w:r>
      <w:r>
        <w:rPr>
          <w:rFonts w:hint="default" w:ascii="Times New Roman" w:hAnsi="Times New Roman" w:eastAsia="仿宋_GB2312" w:cs="Times New Roman"/>
          <w:sz w:val="32"/>
          <w:szCs w:val="32"/>
        </w:rPr>
        <w:t>严格落实质量终身责任制，加强质量安全监督队伍建设，推进县级质量监督机构建设。落实质量安全风险管控各项机制，对重大项目、中小型水库、灌区、城乡供水工程实行分类分级监管，筑牢工程质量安全责任防线。</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2.强化工程建设全过程监管。</w:t>
      </w:r>
      <w:r>
        <w:rPr>
          <w:rFonts w:hint="default" w:ascii="Times New Roman" w:hAnsi="Times New Roman" w:eastAsia="仿宋_GB2312" w:cs="Times New Roman"/>
          <w:sz w:val="32"/>
          <w:szCs w:val="32"/>
        </w:rPr>
        <w:t>建立覆盖前期规划、勘察设计、招标投标、施工建设、竣工验收的全链条监管机制，推进水利建设市场信用评价和分级分类监管。深化招投标制度改革，落</w:t>
      </w:r>
      <w:r>
        <w:rPr>
          <w:rFonts w:hint="default" w:ascii="Times New Roman" w:hAnsi="Times New Roman" w:eastAsia="仿宋_GB2312" w:cs="Times New Roman"/>
          <w:spacing w:val="-6"/>
          <w:sz w:val="32"/>
          <w:szCs w:val="32"/>
        </w:rPr>
        <w:t>实招标人主体责任，实施技术、质量、安全、价格、信用综合评价。</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3.加强工程运行监管。</w:t>
      </w:r>
      <w:r>
        <w:rPr>
          <w:rFonts w:hint="default" w:ascii="Times New Roman" w:hAnsi="Times New Roman" w:eastAsia="仿宋_GB2312" w:cs="Times New Roman"/>
          <w:sz w:val="32"/>
          <w:szCs w:val="32"/>
        </w:rPr>
        <w:t>完善水利工程标准化管理制度体系，压实各层级工程运行管理责任，加强中小水库、水闸、农村供水等薄弱环节日常维修养护、巡查检查和安全监测。深入开展质量创优活动，鼓励将创优目标纳入合同，激发参建各方质量提升积极性。持续深化农村供水县域统管，全面落实农村供水“三个责任”“三项制度”，逐步推进专业化直管到户全覆盖。常态化开展水质检测监测，加强与卫健部门联防联控、信息共享、联合处置，确保水质稳定达标。</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（五）法治改革监管。</w:t>
      </w:r>
      <w:r>
        <w:rPr>
          <w:rFonts w:hint="default" w:ascii="Times New Roman" w:hAnsi="Times New Roman" w:eastAsia="仿宋_GB2312" w:cs="Times New Roman"/>
          <w:sz w:val="32"/>
          <w:szCs w:val="32"/>
        </w:rPr>
        <w:t>坚持以法治固根本、以改革激活力、以文化聚共识，统筹法治保障、体制机制改革与水文化建设，补齐涉水治理制度短板，破除水利发展体制障碍，厚植全社会治水兴水文化根基，持续提升水利治理体系和治理能力现代化水平。</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1.严格规范水行政执法。</w:t>
      </w:r>
      <w:r>
        <w:rPr>
          <w:rFonts w:hint="default" w:ascii="Times New Roman" w:hAnsi="Times New Roman" w:eastAsia="仿宋_GB2312" w:cs="Times New Roman"/>
          <w:sz w:val="32"/>
          <w:szCs w:val="32"/>
        </w:rPr>
        <w:t>加强水行政执法工作力量，建成权责清晰、运转高效、保障有力的水行政执法工作体系。依法严厉打击非法取水、侵占河湖、破坏水利工程等违法行为。强化水行政执法与刑事司法衔接，提升涉水综合行政执法效能。加强水行政执法队伍能力建设和水利法治宣传教育，全面提升依法治水管水水平。</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2.深化水利市场化改革。</w:t>
      </w:r>
      <w:r>
        <w:rPr>
          <w:rFonts w:hint="default" w:ascii="Times New Roman" w:hAnsi="Times New Roman" w:eastAsia="仿宋_GB2312" w:cs="Times New Roman"/>
          <w:sz w:val="32"/>
          <w:szCs w:val="32"/>
        </w:rPr>
        <w:t xml:space="preserve">健全多元化水利投融资机制，完善政府投资支持重大水利项目建设长效机制，为社会资本特别是民间资本参与工程建设运营创造条件，推行“公益性+经营性”组合模式，推广“水权质押贷款”“节水贷”等绿色金融产品，推动水权与金融深度融合。推进水利资源、资产、资金“三资”改革，实行水利工程资产确权登记入账，盘活用好存量资产，建立“成熟一批、转化一批、反哺一批”机制。健全水生态产品价值实现机制，推进水土保持生态产品价值转换，探索多样化价值实现路径，完善生态保护补偿机制。 </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3.提升水利文化软实力。</w:t>
      </w:r>
      <w:r>
        <w:rPr>
          <w:rFonts w:hint="default" w:ascii="Times New Roman" w:hAnsi="Times New Roman" w:eastAsia="仿宋_GB2312" w:cs="Times New Roman"/>
          <w:sz w:val="32"/>
          <w:szCs w:val="32"/>
        </w:rPr>
        <w:t>立足“汉江之源”区位优势和“南水北调中线水源涵养区”战略地位，深挖水文化时代价值，为汉中文化强市建设提供水文化支撑。夯实水文化研究和资源基础。系统研究汉中治水历史、重大水利成就和治水人物，推出“汉江治水史”“南水北调与区域水伦理”等理论成果。开展重要水文化资源普查，建立不可移动水利文物资源目录，推动“汉中三堰”世界灌溉工程遗产保护专项立法，探索活化途径。激活水文化传承创新动力。探索水利工程与水文化建设同步规划、同步设计、同步实施。推进马鞍堰灌区红色旅游及生态增效项目等建设。在幸福河湖、“幸福园”建设中融入水文化内涵，合理布局水文化设施。提升水文化弘扬传播水平。探索“水文化+”产业体系，发展水文化主题旅游、灌区研学等。广泛运用平台大力弘扬水文化，讲好汉中治水故事，激发公众惜水护水热情。</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四、实施保障</w:t>
      </w: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坚持党建引领</w:t>
      </w:r>
      <w:r>
        <w:rPr>
          <w:rFonts w:hint="default" w:ascii="Times New Roman" w:hAnsi="Times New Roman" w:eastAsia="仿宋_GB2312" w:cs="Times New Roman"/>
          <w:sz w:val="32"/>
          <w:szCs w:val="32"/>
        </w:rPr>
        <w:t>。充分发挥党总揽全局、协调各方的领导核心作用，深刻领悟“两个确立”的决定性意义，增强“四个意识”、坚定“四个自信”、做到“两个维护”，把党的领导贯穿于水利规划实施全过程、各方面，确保规划确定的目标任务落到实处。</w:t>
      </w:r>
      <w:r>
        <w:rPr>
          <w:rFonts w:hint="default" w:ascii="Times New Roman" w:hAnsi="Times New Roman" w:eastAsia="仿宋_GB2312" w:cs="Times New Roman"/>
          <w:b/>
          <w:bCs/>
          <w:sz w:val="32"/>
          <w:szCs w:val="32"/>
        </w:rPr>
        <w:t>突出规划引领</w:t>
      </w:r>
      <w:r>
        <w:rPr>
          <w:rFonts w:hint="default" w:ascii="Times New Roman" w:hAnsi="Times New Roman" w:eastAsia="仿宋_GB2312" w:cs="Times New Roman"/>
          <w:sz w:val="32"/>
          <w:szCs w:val="32"/>
        </w:rPr>
        <w:t>。坚持一张蓝图绘到底，推动各专项规划、实施方案与本规划有机衔接，县级水利发展规划抓好贯彻落实。</w:t>
      </w:r>
      <w:r>
        <w:rPr>
          <w:rFonts w:hint="default" w:ascii="Times New Roman" w:hAnsi="Times New Roman" w:eastAsia="仿宋_GB2312" w:cs="Times New Roman"/>
          <w:b/>
          <w:bCs/>
          <w:sz w:val="32"/>
          <w:szCs w:val="32"/>
        </w:rPr>
        <w:t>强化要素保障</w:t>
      </w:r>
      <w:r>
        <w:rPr>
          <w:rFonts w:hint="default" w:ascii="Times New Roman" w:hAnsi="Times New Roman" w:eastAsia="仿宋_GB2312" w:cs="Times New Roman"/>
          <w:sz w:val="32"/>
          <w:szCs w:val="32"/>
        </w:rPr>
        <w:t>。加大公共财政投入，积极争取国家和金融机构支持，引导社会资本参与水利建设，抓好项目前期要件办理和征地移民工作，保障重点项目顺利实施。</w:t>
      </w:r>
      <w:r>
        <w:rPr>
          <w:rFonts w:hint="default" w:ascii="Times New Roman" w:hAnsi="Times New Roman" w:eastAsia="仿宋_GB2312" w:cs="Times New Roman"/>
          <w:b/>
          <w:bCs/>
          <w:sz w:val="32"/>
          <w:szCs w:val="32"/>
        </w:rPr>
        <w:t>加强部门协同</w:t>
      </w:r>
      <w:r>
        <w:rPr>
          <w:rFonts w:hint="default" w:ascii="Times New Roman" w:hAnsi="Times New Roman" w:eastAsia="仿宋_GB2312" w:cs="Times New Roman"/>
          <w:sz w:val="32"/>
          <w:szCs w:val="32"/>
        </w:rPr>
        <w:t>。健全市县联动机制，加强与省级部门和发改、林业、生态等部门衔接，推进政务公开和社会监督。</w:t>
      </w:r>
      <w:r>
        <w:rPr>
          <w:rFonts w:hint="default" w:ascii="Times New Roman" w:hAnsi="Times New Roman" w:eastAsia="仿宋_GB2312" w:cs="Times New Roman"/>
          <w:b/>
          <w:bCs/>
          <w:sz w:val="32"/>
          <w:szCs w:val="32"/>
        </w:rPr>
        <w:t>加强监测评估</w:t>
      </w:r>
      <w:r>
        <w:rPr>
          <w:rFonts w:hint="default" w:ascii="Times New Roman" w:hAnsi="Times New Roman" w:eastAsia="仿宋_GB2312" w:cs="Times New Roman"/>
          <w:sz w:val="32"/>
          <w:szCs w:val="32"/>
        </w:rPr>
        <w:t>。开展年度监测、中期评估和总结评估，对重大水利项目库实行动态管理，按程序适时调整规划。</w:t>
      </w:r>
      <w:r>
        <w:rPr>
          <w:rFonts w:hint="default" w:ascii="Times New Roman" w:hAnsi="Times New Roman" w:eastAsia="仿宋_GB2312" w:cs="Times New Roman"/>
          <w:b/>
          <w:bCs/>
          <w:sz w:val="32"/>
          <w:szCs w:val="32"/>
        </w:rPr>
        <w:t>凝聚治水合力</w:t>
      </w:r>
      <w:r>
        <w:rPr>
          <w:rFonts w:hint="default" w:ascii="Times New Roman" w:hAnsi="Times New Roman" w:eastAsia="仿宋_GB2312" w:cs="Times New Roman"/>
          <w:sz w:val="32"/>
          <w:szCs w:val="32"/>
        </w:rPr>
        <w:t>。构建政府主导、社会协同、公众参与的治水兴水格局，加强宣传引导，增强全民节水护水意识，形成全社会治水兴水合力。</w:t>
      </w:r>
    </w:p>
    <w:sectPr>
      <w:footerReference r:id="rId5" w:type="default"/>
      <w:pgSz w:w="11906" w:h="16838"/>
      <w:pgMar w:top="2098" w:right="1474" w:bottom="1984" w:left="1587"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ESI宋体-GB2312">
    <w:panose1 w:val="02000500000000000000"/>
    <w:charset w:val="86"/>
    <w:family w:val="auto"/>
    <w:pitch w:val="default"/>
    <w:sig w:usb0="800002AF" w:usb1="08476CF8" w:usb2="00000010" w:usb3="00000000" w:csb0="0004000F" w:csb1="00000000"/>
  </w:font>
  <w:font w:name="方正小标宋简体">
    <w:panose1 w:val="02000000000000000000"/>
    <w:charset w:val="86"/>
    <w:family w:val="script"/>
    <w:pitch w:val="default"/>
    <w:sig w:usb0="A00002BF" w:usb1="184F6CFA" w:usb2="00000012" w:usb3="00000000" w:csb0="00040001" w:csb1="00000000"/>
  </w:font>
  <w:font w:name="Calibri Light">
    <w:altName w:val="DejaVu Sans"/>
    <w:panose1 w:val="00000000000000000000"/>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7"/>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F6310B"/>
    <w:rsid w:val="0FEF434E"/>
    <w:rsid w:val="1C7D7C4C"/>
    <w:rsid w:val="1F7D99BA"/>
    <w:rsid w:val="375FE55A"/>
    <w:rsid w:val="3CDD1047"/>
    <w:rsid w:val="3EF46E11"/>
    <w:rsid w:val="57379632"/>
    <w:rsid w:val="57FB4E99"/>
    <w:rsid w:val="57FBC565"/>
    <w:rsid w:val="5BFFD421"/>
    <w:rsid w:val="5DF37E90"/>
    <w:rsid w:val="69D58316"/>
    <w:rsid w:val="6BBF940A"/>
    <w:rsid w:val="6DBF830B"/>
    <w:rsid w:val="6DF53731"/>
    <w:rsid w:val="6EDC9EC1"/>
    <w:rsid w:val="6FD5F05E"/>
    <w:rsid w:val="71EF084A"/>
    <w:rsid w:val="79EF1682"/>
    <w:rsid w:val="79FBA143"/>
    <w:rsid w:val="7ABDD223"/>
    <w:rsid w:val="7BE21FDE"/>
    <w:rsid w:val="7BEF52D7"/>
    <w:rsid w:val="7CD7D115"/>
    <w:rsid w:val="7D7BCE87"/>
    <w:rsid w:val="7EAFA691"/>
    <w:rsid w:val="7F5FDF84"/>
    <w:rsid w:val="7F7BB592"/>
    <w:rsid w:val="7F7F07EA"/>
    <w:rsid w:val="7F7F2F47"/>
    <w:rsid w:val="7FD9066B"/>
    <w:rsid w:val="7FEB81BB"/>
    <w:rsid w:val="9BFC4B3F"/>
    <w:rsid w:val="A6B35E42"/>
    <w:rsid w:val="AEFB83F3"/>
    <w:rsid w:val="BBF71DAB"/>
    <w:rsid w:val="BEBCC21A"/>
    <w:rsid w:val="BFC79BDC"/>
    <w:rsid w:val="BFF6310B"/>
    <w:rsid w:val="BFFB761E"/>
    <w:rsid w:val="BFFC8DF6"/>
    <w:rsid w:val="C3FF6F3B"/>
    <w:rsid w:val="CF3F0B63"/>
    <w:rsid w:val="CFD7AD1C"/>
    <w:rsid w:val="DB377ED3"/>
    <w:rsid w:val="DBDFABE1"/>
    <w:rsid w:val="DD3F5C2C"/>
    <w:rsid w:val="DD991689"/>
    <w:rsid w:val="DFFF1883"/>
    <w:rsid w:val="E5AFD28F"/>
    <w:rsid w:val="EDD1D364"/>
    <w:rsid w:val="EEB7641B"/>
    <w:rsid w:val="EFE57946"/>
    <w:rsid w:val="F3D7E246"/>
    <w:rsid w:val="F3EEE610"/>
    <w:rsid w:val="F4DF3A7C"/>
    <w:rsid w:val="F7DB1939"/>
    <w:rsid w:val="F7FC2286"/>
    <w:rsid w:val="F9CBA27C"/>
    <w:rsid w:val="F9E70D5C"/>
    <w:rsid w:val="F9FC85DB"/>
    <w:rsid w:val="FBDDB99C"/>
    <w:rsid w:val="FC1F7C03"/>
    <w:rsid w:val="FCF7F851"/>
    <w:rsid w:val="FE3DD103"/>
    <w:rsid w:val="FEE38B45"/>
    <w:rsid w:val="FF3D802E"/>
    <w:rsid w:val="FF7C63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360" w:lineRule="auto"/>
      <w:ind w:firstLine="560" w:firstLineChars="200"/>
      <w:jc w:val="both"/>
    </w:pPr>
    <w:rPr>
      <w:rFonts w:ascii="Times New Roman" w:hAnsi="Times New Roman" w:eastAsia="CESI宋体-GB2312" w:cs="Times New Roman"/>
      <w:kern w:val="2"/>
      <w:sz w:val="28"/>
      <w:szCs w:val="24"/>
      <w:lang w:val="en-US" w:eastAsia="zh-CN" w:bidi="ar-SA"/>
    </w:rPr>
  </w:style>
  <w:style w:type="paragraph" w:styleId="3">
    <w:name w:val="heading 1"/>
    <w:basedOn w:val="1"/>
    <w:next w:val="1"/>
    <w:link w:val="12"/>
    <w:qFormat/>
    <w:uiPriority w:val="0"/>
    <w:pPr>
      <w:keepNext/>
      <w:keepLines/>
      <w:spacing w:after="100" w:afterLines="100"/>
      <w:ind w:firstLine="0" w:firstLineChars="0"/>
      <w:jc w:val="center"/>
      <w:outlineLvl w:val="0"/>
    </w:pPr>
    <w:rPr>
      <w:rFonts w:eastAsia="方正小标宋简体" w:cs="Times New Roman"/>
      <w:bCs/>
      <w:kern w:val="44"/>
      <w:sz w:val="44"/>
      <w:szCs w:val="44"/>
    </w:rPr>
  </w:style>
  <w:style w:type="paragraph" w:styleId="4">
    <w:name w:val="heading 2"/>
    <w:basedOn w:val="1"/>
    <w:next w:val="1"/>
    <w:link w:val="13"/>
    <w:unhideWhenUsed/>
    <w:qFormat/>
    <w:uiPriority w:val="0"/>
    <w:pPr>
      <w:keepNext w:val="0"/>
      <w:keepLines w:val="0"/>
      <w:widowControl w:val="0"/>
      <w:spacing w:before="50" w:beforeLines="50" w:after="50" w:afterLines="50"/>
      <w:jc w:val="center"/>
      <w:outlineLvl w:val="1"/>
    </w:pPr>
    <w:rPr>
      <w:rFonts w:ascii="Calibri Light" w:hAnsi="Calibri Light" w:eastAsia="楷体_GB2312" w:cs="Times New Roman"/>
      <w:b/>
      <w:bCs/>
      <w:sz w:val="32"/>
    </w:rPr>
  </w:style>
  <w:style w:type="paragraph" w:styleId="5">
    <w:name w:val="heading 3"/>
    <w:basedOn w:val="1"/>
    <w:next w:val="1"/>
    <w:link w:val="14"/>
    <w:unhideWhenUsed/>
    <w:qFormat/>
    <w:uiPriority w:val="0"/>
    <w:pPr>
      <w:keepNext w:val="0"/>
      <w:keepLines w:val="0"/>
      <w:tabs>
        <w:tab w:val="left" w:pos="432"/>
        <w:tab w:val="left" w:pos="720"/>
        <w:tab w:val="left" w:pos="862"/>
        <w:tab w:val="left" w:pos="1134"/>
      </w:tabs>
      <w:adjustRightInd w:val="0"/>
      <w:snapToGrid w:val="0"/>
      <w:spacing w:before="50" w:beforeLines="50" w:after="50" w:afterLines="50"/>
      <w:jc w:val="left"/>
      <w:outlineLvl w:val="2"/>
    </w:pPr>
    <w:rPr>
      <w:rFonts w:eastAsia="宋体"/>
      <w:b/>
      <w:szCs w:val="28"/>
    </w:rPr>
  </w:style>
  <w:style w:type="paragraph" w:styleId="6">
    <w:name w:val="heading 4"/>
    <w:basedOn w:val="1"/>
    <w:next w:val="1"/>
    <w:link w:val="15"/>
    <w:unhideWhenUsed/>
    <w:qFormat/>
    <w:uiPriority w:val="0"/>
    <w:pPr>
      <w:keepNext/>
      <w:keepLines/>
      <w:spacing w:before="50" w:beforeLines="50" w:after="50" w:afterLines="50"/>
      <w:outlineLvl w:val="3"/>
    </w:pPr>
    <w:rPr>
      <w:rFonts w:eastAsia="宋体"/>
      <w:bCs/>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标题 1 字符"/>
    <w:basedOn w:val="11"/>
    <w:link w:val="3"/>
    <w:qFormat/>
    <w:uiPriority w:val="9"/>
    <w:rPr>
      <w:rFonts w:ascii="Times New Roman" w:hAnsi="Times New Roman" w:eastAsia="方正小标宋简体" w:cs="Times New Roman"/>
      <w:bCs/>
      <w:kern w:val="44"/>
      <w:sz w:val="44"/>
      <w:szCs w:val="44"/>
    </w:rPr>
  </w:style>
  <w:style w:type="character" w:customStyle="1" w:styleId="13">
    <w:name w:val="标题 2 字符"/>
    <w:basedOn w:val="11"/>
    <w:link w:val="4"/>
    <w:qFormat/>
    <w:uiPriority w:val="9"/>
    <w:rPr>
      <w:rFonts w:ascii="Calibri Light" w:hAnsi="Calibri Light" w:eastAsia="楷体_GB2312" w:cs="Times New Roman"/>
      <w:b/>
      <w:bCs/>
      <w:kern w:val="2"/>
      <w:sz w:val="32"/>
    </w:rPr>
  </w:style>
  <w:style w:type="character" w:customStyle="1" w:styleId="14">
    <w:name w:val="标题 3 Char"/>
    <w:link w:val="5"/>
    <w:qFormat/>
    <w:uiPriority w:val="0"/>
    <w:rPr>
      <w:rFonts w:eastAsia="宋体"/>
      <w:b/>
      <w:kern w:val="2"/>
      <w:sz w:val="28"/>
      <w:szCs w:val="28"/>
    </w:rPr>
  </w:style>
  <w:style w:type="character" w:customStyle="1" w:styleId="15">
    <w:name w:val="标题 4 Char"/>
    <w:link w:val="6"/>
    <w:qFormat/>
    <w:uiPriority w:val="0"/>
    <w:rPr>
      <w:rFonts w:ascii="Times New Roman" w:hAnsi="Times New Roman" w:eastAsia="宋体"/>
      <w:sz w:val="28"/>
      <w:szCs w:val="28"/>
    </w:rPr>
  </w:style>
  <w:style w:type="paragraph" w:customStyle="1" w:styleId="16">
    <w:name w:val="报告正文"/>
    <w:basedOn w:val="1"/>
    <w:link w:val="17"/>
    <w:qFormat/>
    <w:uiPriority w:val="0"/>
    <w:pPr>
      <w:ind w:firstLine="480" w:firstLineChars="200"/>
    </w:pPr>
    <w:rPr>
      <w:rFonts w:eastAsia="宋体" w:cs="宋体"/>
      <w:szCs w:val="20"/>
    </w:rPr>
  </w:style>
  <w:style w:type="character" w:customStyle="1" w:styleId="17">
    <w:name w:val="报告正文 Char"/>
    <w:link w:val="16"/>
    <w:qFormat/>
    <w:uiPriority w:val="0"/>
    <w:rPr>
      <w:rFonts w:eastAsia="宋体" w:cs="宋体"/>
      <w:kern w:val="2"/>
      <w:sz w:val="28"/>
    </w:rPr>
  </w:style>
  <w:style w:type="character" w:customStyle="1" w:styleId="18">
    <w:name w:val="font41"/>
    <w:qFormat/>
    <w:uiPriority w:val="0"/>
    <w:rPr>
      <w:rFonts w:ascii="仿宋" w:hAnsi="仿宋" w:eastAsia="仿宋" w:cs="仿宋"/>
      <w:color w:val="000000"/>
      <w:sz w:val="24"/>
      <w:szCs w:val="24"/>
      <w:u w:val="none"/>
    </w:rPr>
  </w:style>
  <w:style w:type="character" w:customStyle="1" w:styleId="19">
    <w:name w:val="font11"/>
    <w:qFormat/>
    <w:uiPriority w:val="0"/>
    <w:rPr>
      <w:rFonts w:hint="default" w:ascii="Times New Roman" w:hAnsi="Times New Roman" w:cs="Times New Roman"/>
      <w:color w:val="000000"/>
      <w:sz w:val="24"/>
      <w:szCs w:val="24"/>
      <w:u w:val="none"/>
    </w:rPr>
  </w:style>
  <w:style w:type="character" w:customStyle="1" w:styleId="20">
    <w:name w:val="font91"/>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2026-09-19T09:35:00Z</dcterms:created>
  <dc:creator>uos</dc:creator>
  <cp:lastModifiedBy>guest</cp:lastModifiedBy>
  <dcterms:modified xsi:type="dcterms:W3CDTF">2026-09-20T08:29:00Z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4AADA8133F25D7431128AF6A1D4C4E5B</vt:lpwstr>
  </property>
</Properties>
</file>